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运输部内燃机库检修库增设高压箱变基础工程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运输部内燃机库检修库增设高压箱变基础工程项目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运输部内燃机库检修库增设高压箱变基础工程项目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包含：机械开挖土方约40m3，土方回填约15m3，级配砂石垫层约10m3，基础砼浇筑约20m3，止水钢板约20m，钢筋制安约3t，防水砂浆约40m2，预埋件、直爬梯约0.5t，镀锌钢管敷设约10m，砖砌台阶约1m2，百叶窗约1m2等</w:t>
      </w:r>
      <w:r>
        <w:rPr>
          <w:rFonts w:hint="eastAsia" w:ascii="宋体" w:hAnsi="宋体"/>
          <w:color w:val="auto"/>
          <w:lang w:eastAsia="zh-CN"/>
        </w:rPr>
        <w:t>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开工日期：2022年3月10日（暂定）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竣工日期：2022年4月19日                                              </w:t>
      </w:r>
    </w:p>
    <w:p>
      <w:pPr>
        <w:spacing w:line="360" w:lineRule="auto"/>
        <w:rPr>
          <w:rFonts w:ascii="宋体" w:hAnsi="宋体"/>
          <w:color w:val="auto"/>
        </w:rPr>
      </w:pPr>
      <w:r>
        <w:rPr>
          <w:rFonts w:hint="eastAsia" w:ascii="宋体" w:hAnsi="宋体"/>
          <w:color w:val="auto"/>
          <w:lang w:val="en-US" w:eastAsia="zh-CN"/>
        </w:rPr>
        <w:t>合同工期总日历天数40天。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634"/>
        <w:gridCol w:w="1000"/>
        <w:gridCol w:w="10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 w:name="_GoBack"/>
            <w:r>
              <w:rPr>
                <w:rFonts w:hint="eastAsia" w:ascii="宋体" w:hAnsi="宋体" w:eastAsia="宋体" w:cs="宋体"/>
                <w:b/>
                <w:bCs/>
                <w:i w:val="0"/>
                <w:iCs w:val="0"/>
                <w:color w:val="000000"/>
                <w:kern w:val="0"/>
                <w:sz w:val="32"/>
                <w:szCs w:val="32"/>
                <w:u w:val="none"/>
                <w:bdr w:val="none" w:color="auto" w:sz="0" w:space="0"/>
                <w:lang w:val="en-US" w:eastAsia="zh-CN" w:bidi="ar"/>
              </w:rPr>
              <w:t>运输部内燃机库检修库增设高压箱变基础工程项目</w:t>
            </w:r>
            <w:bookmarkEnd w:id="3"/>
            <w:r>
              <w:rPr>
                <w:rFonts w:hint="eastAsia" w:ascii="宋体" w:hAnsi="宋体" w:eastAsia="宋体" w:cs="宋体"/>
                <w:b/>
                <w:bCs/>
                <w:i w:val="0"/>
                <w:iCs w:val="0"/>
                <w:color w:val="000000"/>
                <w:kern w:val="0"/>
                <w:sz w:val="32"/>
                <w:szCs w:val="32"/>
                <w:u w:val="none"/>
                <w:bdr w:val="none" w:color="auto" w:sz="0" w:space="0"/>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机械开挖土方</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级配砂石垫层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基础砼浇筑</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止水钢板</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拦标价：80元/m，包括卸车、运输、倒运、制作、安装等涉及的全部工序及人工费、机械费、材料费措施费、不可竞争费、税金、水电费等全部费用。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钢筋在厂内的倒运费用</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防水砂浆</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拦标价：30元/m2，包括清理、修补、湿润基础表面、分层抹灰找平、刷浆、洒水湿润、罩面压光等涉及的全部工序及人工费、机械费、材料费、措施费、不可竞争费、税金、水电费等全部费用。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预埋件、直爬梯</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拦标价：10000元/t，包括卸车、运输、倒运、制作、安装、除锈刷漆等涉及的全部工序及人工费、机械费、材料费、措施费、不可竞争费、税金、水电费等全部费用。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镀锌钢管敷设</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拦标价：200元/m，包括卸车、运输、倒运、制作、安装、穿钢丝等涉及的全部工序及人工费、机械费、材料费、措施费、不可竞争费、税金、水电费等全部费用。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砖砌台阶</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拦标价：150元/m2，包括卸车、运输、倒运、素土夯实、碎石垫层、砌砖、抹灰等涉及的全部工序及人工费、机械费、材料费、措施费、不可竞争费、税金、水电费等全部费用。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百叶窗</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拦标价：650元/m2，包括制作、安装、铺钢板网、除锈、刷漆等涉及的全部工序及人工费、机械费、材料费、措施费、不可竞争费、税金、水电费等全部费用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10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拦标价：9900元。执行2018版安徽省建设工程计价定额及配套费用定额，材料费不参与总价优惠。措施项目费以签证形式据实计取，二次搬运费不计取。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C7958BD"/>
    <w:rsid w:val="4EF83610"/>
    <w:rsid w:val="4FC1072C"/>
    <w:rsid w:val="51C85998"/>
    <w:rsid w:val="526A207D"/>
    <w:rsid w:val="53966193"/>
    <w:rsid w:val="54DA0463"/>
    <w:rsid w:val="558D3BDC"/>
    <w:rsid w:val="56266223"/>
    <w:rsid w:val="56F435CB"/>
    <w:rsid w:val="57181B7C"/>
    <w:rsid w:val="579A163B"/>
    <w:rsid w:val="58251DDC"/>
    <w:rsid w:val="591F158A"/>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5101C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2022-02-23T06:22:24Z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