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公司部分新建厂房工程桩基检测</w:t>
      </w:r>
      <w:r>
        <w:rPr>
          <w:rFonts w:hint="eastAsia" w:ascii="宋体" w:hAnsi="宋体"/>
          <w:color w:val="auto"/>
          <w:sz w:val="36"/>
          <w:szCs w:val="32"/>
          <w:lang w:val="en-US" w:eastAsia="zh-CN"/>
        </w:rPr>
        <w:t>项目</w:t>
      </w:r>
    </w:p>
    <w:p>
      <w:pPr>
        <w:spacing w:before="156" w:beforeLines="50" w:after="156" w:afterLines="50" w:line="300" w:lineRule="auto"/>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24</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rPr>
        <w:t>地基基础工程检测资质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rPr>
        <w:t>土木工程师（岩土）</w:t>
      </w:r>
      <w:r>
        <w:rPr>
          <w:rFonts w:hint="eastAsia" w:hAnsi="宋体"/>
          <w:color w:val="auto"/>
          <w:sz w:val="24"/>
          <w:szCs w:val="24"/>
          <w:highlight w:val="none"/>
          <w:lang w:val="en-US" w:eastAsia="zh-CN"/>
        </w:rPr>
        <w:t>注册证书</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25</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FF0000"/>
          <w:kern w:val="36"/>
          <w:lang w:eastAsia="zh-CN"/>
        </w:rPr>
        <w:t>公司部分新建厂房工程桩基检测</w:t>
      </w:r>
      <w:r>
        <w:rPr>
          <w:rFonts w:hint="eastAsia" w:ascii="宋体" w:hAnsi="宋体" w:cs="宋体"/>
          <w:color w:val="FF0000"/>
          <w:kern w:val="36"/>
          <w:lang w:val="en-US"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FF0000"/>
          <w:kern w:val="36"/>
          <w:lang w:eastAsia="zh-CN"/>
        </w:rPr>
        <w:t>公司部分新建厂房工程桩基检测</w:t>
      </w:r>
      <w:r>
        <w:rPr>
          <w:rFonts w:hint="eastAsia" w:ascii="宋体" w:hAnsi="宋体" w:cs="宋体"/>
          <w:color w:val="FF0000"/>
          <w:kern w:val="36"/>
          <w:lang w:val="en-US" w:eastAsia="zh-CN"/>
        </w:rPr>
        <w:t>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numPr>
          <w:numId w:val="0"/>
        </w:numPr>
        <w:spacing w:line="360" w:lineRule="auto"/>
        <w:ind w:leftChars="0"/>
        <w:rPr>
          <w:rFonts w:ascii="宋体" w:hAnsi="宋体"/>
          <w:sz w:val="24"/>
          <w:szCs w:val="22"/>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sz w:val="24"/>
          <w:szCs w:val="22"/>
          <w:highlight w:val="none"/>
          <w:u w:val="none"/>
        </w:rPr>
        <w:t>包含</w:t>
      </w:r>
    </w:p>
    <w:p>
      <w:pPr>
        <w:numPr>
          <w:ilvl w:val="0"/>
          <w:numId w:val="0"/>
        </w:numPr>
        <w:spacing w:line="360" w:lineRule="auto"/>
        <w:ind w:leftChars="0"/>
        <w:rPr>
          <w:rFonts w:hint="eastAsia" w:ascii="宋体" w:hAnsi="宋体"/>
          <w:color w:val="auto"/>
        </w:rPr>
      </w:pPr>
      <w:r>
        <w:rPr>
          <w:rFonts w:hint="eastAsia" w:ascii="宋体" w:hAnsi="宋体"/>
          <w:color w:val="auto"/>
          <w:lang w:val="en-US" w:eastAsia="zh-CN"/>
        </w:rPr>
        <w:t>1）</w:t>
      </w:r>
      <w:r>
        <w:rPr>
          <w:rFonts w:hint="eastAsia" w:ascii="宋体" w:hAnsi="宋体"/>
          <w:color w:val="auto"/>
          <w:lang w:eastAsia="zh-CN"/>
        </w:rPr>
        <w:t>铸管部DN80-600特喷线桩基检测，</w:t>
      </w:r>
      <w:r>
        <w:rPr>
          <w:rFonts w:hint="eastAsia" w:ascii="宋体" w:hAnsi="宋体"/>
          <w:color w:val="auto"/>
          <w:lang w:val="en-US" w:eastAsia="zh-CN"/>
        </w:rPr>
        <w:t>管桩PHC 400 AB 95</w:t>
      </w:r>
      <w:r>
        <w:rPr>
          <w:rFonts w:hint="eastAsia" w:ascii="宋体" w:hAnsi="宋体"/>
          <w:color w:val="auto"/>
        </w:rPr>
        <w:t>竖向静载试验（单桩极限承载力标准值</w:t>
      </w:r>
      <w:r>
        <w:rPr>
          <w:rFonts w:hint="eastAsia" w:ascii="宋体" w:hAnsi="宋体"/>
          <w:color w:val="auto"/>
          <w:lang w:val="en-US" w:eastAsia="zh-CN"/>
        </w:rPr>
        <w:t>147</w:t>
      </w:r>
      <w:r>
        <w:rPr>
          <w:rFonts w:hint="eastAsia" w:ascii="宋体" w:hAnsi="宋体"/>
          <w:color w:val="auto"/>
        </w:rPr>
        <w:t>0KN）</w:t>
      </w:r>
      <w:r>
        <w:rPr>
          <w:rFonts w:hint="eastAsia" w:ascii="宋体" w:hAnsi="宋体"/>
          <w:color w:val="auto"/>
          <w:lang w:eastAsia="zh-CN"/>
        </w:rPr>
        <w:t>约</w:t>
      </w:r>
      <w:r>
        <w:rPr>
          <w:rFonts w:hint="eastAsia" w:ascii="宋体" w:hAnsi="宋体"/>
          <w:color w:val="auto"/>
          <w:lang w:val="en-US" w:eastAsia="zh-CN"/>
        </w:rPr>
        <w:t>4根，</w:t>
      </w:r>
      <w:r>
        <w:rPr>
          <w:rFonts w:hint="eastAsia" w:ascii="宋体" w:hAnsi="宋体"/>
          <w:color w:val="auto"/>
        </w:rPr>
        <w:t>低应变检测</w:t>
      </w:r>
      <w:r>
        <w:rPr>
          <w:rFonts w:hint="eastAsia" w:ascii="宋体" w:hAnsi="宋体"/>
          <w:color w:val="auto"/>
          <w:lang w:val="en-US" w:eastAsia="zh-CN"/>
        </w:rPr>
        <w:t>240根。</w:t>
      </w:r>
    </w:p>
    <w:p>
      <w:pPr>
        <w:numPr>
          <w:ilvl w:val="0"/>
          <w:numId w:val="0"/>
        </w:numPr>
        <w:spacing w:line="360" w:lineRule="auto"/>
        <w:ind w:leftChars="0"/>
        <w:rPr>
          <w:rFonts w:hint="eastAsia" w:ascii="宋体" w:hAnsi="宋体"/>
          <w:color w:val="auto"/>
        </w:rPr>
      </w:pPr>
      <w:r>
        <w:rPr>
          <w:rFonts w:hint="eastAsia" w:ascii="宋体" w:hAnsi="宋体"/>
          <w:color w:val="auto"/>
          <w:lang w:val="en-US" w:eastAsia="zh-CN"/>
        </w:rPr>
        <w:t>2）搭临区-运输队搬迁</w:t>
      </w:r>
      <w:r>
        <w:rPr>
          <w:rFonts w:hint="eastAsia" w:ascii="宋体" w:hAnsi="宋体"/>
          <w:color w:val="auto"/>
          <w:lang w:eastAsia="zh-CN"/>
        </w:rPr>
        <w:t>桩基检测，包含</w:t>
      </w:r>
      <w:r>
        <w:rPr>
          <w:rFonts w:hint="eastAsia" w:ascii="宋体" w:hAnsi="宋体"/>
          <w:color w:val="auto"/>
          <w:lang w:val="en-US" w:eastAsia="zh-CN"/>
        </w:rPr>
        <w:t>管桩PHC 400 AB 95</w:t>
      </w:r>
      <w:r>
        <w:rPr>
          <w:rFonts w:hint="eastAsia" w:ascii="宋体" w:hAnsi="宋体"/>
          <w:color w:val="auto"/>
        </w:rPr>
        <w:t>竖向静载试验（单桩极限承载力标准值</w:t>
      </w:r>
      <w:r>
        <w:rPr>
          <w:rFonts w:hint="eastAsia" w:ascii="宋体" w:hAnsi="宋体"/>
          <w:color w:val="auto"/>
          <w:lang w:val="en-US" w:eastAsia="zh-CN"/>
        </w:rPr>
        <w:t>147</w:t>
      </w:r>
      <w:r>
        <w:rPr>
          <w:rFonts w:hint="eastAsia" w:ascii="宋体" w:hAnsi="宋体"/>
          <w:color w:val="auto"/>
        </w:rPr>
        <w:t>0KN）</w:t>
      </w:r>
      <w:r>
        <w:rPr>
          <w:rFonts w:hint="eastAsia" w:ascii="宋体" w:hAnsi="宋体"/>
          <w:color w:val="auto"/>
          <w:lang w:eastAsia="zh-CN"/>
        </w:rPr>
        <w:t>约</w:t>
      </w:r>
      <w:r>
        <w:rPr>
          <w:rFonts w:hint="eastAsia" w:ascii="宋体" w:hAnsi="宋体"/>
          <w:color w:val="auto"/>
          <w:lang w:val="en-US" w:eastAsia="zh-CN"/>
        </w:rPr>
        <w:t>3根，</w:t>
      </w:r>
      <w:r>
        <w:rPr>
          <w:rFonts w:hint="eastAsia" w:ascii="宋体" w:hAnsi="宋体"/>
          <w:color w:val="auto"/>
        </w:rPr>
        <w:t>低应变检测</w:t>
      </w:r>
      <w:r>
        <w:rPr>
          <w:rFonts w:hint="eastAsia" w:ascii="宋体" w:hAnsi="宋体"/>
          <w:color w:val="auto"/>
          <w:lang w:val="en-US" w:eastAsia="zh-CN"/>
        </w:rPr>
        <w:t>95根。</w:t>
      </w:r>
    </w:p>
    <w:p>
      <w:pPr>
        <w:numPr>
          <w:ilvl w:val="0"/>
          <w:numId w:val="0"/>
        </w:numPr>
        <w:spacing w:line="360" w:lineRule="auto"/>
        <w:ind w:leftChars="0"/>
        <w:rPr>
          <w:rFonts w:hint="eastAsia" w:ascii="宋体" w:hAnsi="宋体"/>
          <w:color w:val="auto"/>
          <w:lang w:val="en-US" w:eastAsia="zh-CN"/>
        </w:rPr>
      </w:pPr>
      <w:r>
        <w:rPr>
          <w:rFonts w:hint="eastAsia" w:ascii="宋体" w:hAnsi="宋体"/>
          <w:color w:val="auto"/>
          <w:lang w:val="en-US" w:eastAsia="zh-CN"/>
        </w:rPr>
        <w:t>3）轧钢部</w:t>
      </w:r>
      <w:r>
        <w:rPr>
          <w:rFonts w:hint="eastAsia" w:ascii="宋体" w:hAnsi="宋体"/>
          <w:color w:val="auto"/>
        </w:rPr>
        <w:t>棒材联合探伤精整线厂房</w:t>
      </w:r>
      <w:r>
        <w:rPr>
          <w:rFonts w:hint="eastAsia" w:ascii="宋体" w:hAnsi="宋体"/>
          <w:color w:val="auto"/>
          <w:lang w:val="en-US" w:eastAsia="zh-CN"/>
        </w:rPr>
        <w:t>桩基检测，</w:t>
      </w:r>
      <w:r>
        <w:rPr>
          <w:rFonts w:hint="eastAsia" w:ascii="宋体" w:hAnsi="宋体"/>
          <w:color w:val="auto"/>
          <w:lang w:eastAsia="zh-CN"/>
        </w:rPr>
        <w:t>包含</w:t>
      </w:r>
      <w:r>
        <w:rPr>
          <w:rFonts w:hint="eastAsia" w:ascii="宋体" w:hAnsi="宋体"/>
          <w:color w:val="auto"/>
          <w:lang w:val="en-US" w:eastAsia="zh-CN"/>
        </w:rPr>
        <w:t>管桩PHC 400 AB 95</w:t>
      </w:r>
      <w:r>
        <w:rPr>
          <w:rFonts w:hint="eastAsia" w:ascii="宋体" w:hAnsi="宋体"/>
          <w:color w:val="auto"/>
        </w:rPr>
        <w:t>竖向静载试验（单桩极限承载力标准值</w:t>
      </w:r>
      <w:r>
        <w:rPr>
          <w:rFonts w:hint="eastAsia" w:ascii="宋体" w:hAnsi="宋体"/>
          <w:color w:val="auto"/>
          <w:lang w:val="en-US" w:eastAsia="zh-CN"/>
        </w:rPr>
        <w:t>230</w:t>
      </w:r>
      <w:r>
        <w:rPr>
          <w:rFonts w:hint="eastAsia" w:ascii="宋体" w:hAnsi="宋体"/>
          <w:color w:val="auto"/>
        </w:rPr>
        <w:t>0KN）</w:t>
      </w:r>
      <w:r>
        <w:rPr>
          <w:rFonts w:hint="eastAsia" w:ascii="宋体" w:hAnsi="宋体"/>
          <w:color w:val="auto"/>
          <w:lang w:eastAsia="zh-CN"/>
        </w:rPr>
        <w:t>约</w:t>
      </w:r>
      <w:r>
        <w:rPr>
          <w:rFonts w:hint="eastAsia" w:ascii="宋体" w:hAnsi="宋体"/>
          <w:color w:val="auto"/>
          <w:lang w:val="en-US" w:eastAsia="zh-CN"/>
        </w:rPr>
        <w:t>3根，</w:t>
      </w:r>
      <w:r>
        <w:rPr>
          <w:rFonts w:hint="eastAsia" w:ascii="宋体" w:hAnsi="宋体"/>
          <w:color w:val="auto"/>
        </w:rPr>
        <w:t>低应变检测</w:t>
      </w:r>
      <w:r>
        <w:rPr>
          <w:rFonts w:hint="eastAsia" w:ascii="宋体" w:hAnsi="宋体"/>
          <w:color w:val="auto"/>
          <w:lang w:val="en-US" w:eastAsia="zh-CN"/>
        </w:rPr>
        <w:t>70根。</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2022-3-10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2021-4-09                                                    </w:t>
      </w:r>
    </w:p>
    <w:p>
      <w:pPr>
        <w:spacing w:line="360" w:lineRule="auto"/>
        <w:rPr>
          <w:rFonts w:ascii="宋体" w:hAnsi="宋体"/>
          <w:color w:val="auto"/>
        </w:rPr>
      </w:pPr>
      <w:r>
        <w:rPr>
          <w:rFonts w:hint="eastAsia" w:ascii="宋体" w:hAnsi="宋体"/>
          <w:color w:val="auto"/>
          <w:lang w:val="en-US" w:eastAsia="zh-CN"/>
        </w:rPr>
        <w:t>合同工期总日历天数 30 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auto"/>
        <w:rPr>
          <w:rFonts w:hint="eastAsia"/>
          <w:color w:val="auto"/>
          <w:kern w:val="36"/>
        </w:rPr>
      </w:pPr>
      <w:r>
        <w:rPr>
          <w:rFonts w:hint="eastAsia"/>
          <w:color w:val="auto"/>
          <w:kern w:val="36"/>
          <w:lang w:val="en-US" w:eastAsia="zh-CN"/>
        </w:rPr>
        <w:t xml:space="preserve"> </w:t>
      </w:r>
      <w:r>
        <w:rPr>
          <w:rFonts w:hint="eastAsia"/>
          <w:color w:val="auto"/>
          <w:kern w:val="36"/>
        </w:rPr>
        <w:t>本桩基检测工程按照含税综合单价方式进行报价。</w:t>
      </w:r>
    </w:p>
    <w:p>
      <w:pPr>
        <w:numPr>
          <w:ilvl w:val="0"/>
          <w:numId w:val="2"/>
        </w:numPr>
        <w:spacing w:line="360" w:lineRule="auto"/>
        <w:ind w:left="0" w:leftChars="0" w:firstLine="0" w:firstLineChars="0"/>
        <w:rPr>
          <w:rFonts w:hint="eastAsia"/>
          <w:color w:val="auto"/>
          <w:kern w:val="36"/>
          <w:lang w:val="en-US" w:eastAsia="zh-CN"/>
        </w:rPr>
      </w:pPr>
      <w:r>
        <w:rPr>
          <w:rFonts w:hint="eastAsia"/>
          <w:color w:val="auto"/>
          <w:kern w:val="36"/>
          <w:lang w:val="en-US" w:eastAsia="zh-CN"/>
        </w:rPr>
        <w:t xml:space="preserve"> </w:t>
      </w:r>
      <w:r>
        <w:rPr>
          <w:rFonts w:hint="eastAsia"/>
          <w:color w:val="auto"/>
          <w:kern w:val="36"/>
        </w:rPr>
        <w:t>结算审核后承包人及时向发包人开具全额增值税专用发票，开具增值税发票执行6%税率</w:t>
      </w:r>
      <w:r>
        <w:rPr>
          <w:rFonts w:hint="eastAsia"/>
          <w:color w:val="auto"/>
          <w:kern w:val="36"/>
          <w:lang w:val="en-US" w:eastAsia="zh-CN"/>
        </w:rPr>
        <w:t>。</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2．双方约定的工程款（进度款）支付的方式：</w:t>
      </w:r>
      <w:r>
        <w:rPr>
          <w:rFonts w:hint="eastAsia" w:ascii="宋体" w:hAnsi="宋体" w:cs="宋体"/>
          <w:color w:val="auto"/>
        </w:rPr>
        <w:t>银行现汇支付。承包人完成桩基检测工作，出正式的检测报告后支付全部检测费用</w:t>
      </w:r>
      <w:r>
        <w:rPr>
          <w:rFonts w:hint="eastAsia" w:ascii="宋体" w:hAnsi="宋体" w:cs="宋体"/>
          <w:color w:val="auto"/>
          <w:lang w:eastAsia="zh-CN"/>
        </w:rPr>
        <w:t>，付款前提供等额增值税专用发票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ind w:firstLine="843" w:firstLineChars="400"/>
        <w:jc w:val="both"/>
        <w:rPr>
          <w:rFonts w:ascii="宋体" w:hAnsi="宋体"/>
          <w:b/>
          <w:bCs/>
          <w:sz w:val="36"/>
          <w:szCs w:val="36"/>
          <w:highlight w:val="none"/>
        </w:rPr>
      </w:pPr>
      <w:r>
        <w:rPr>
          <w:rFonts w:hint="eastAsia" w:ascii="宋体" w:hAnsi="宋体"/>
          <w:b/>
          <w:bCs/>
          <w:color w:val="auto"/>
          <w:sz w:val="21"/>
          <w:szCs w:val="21"/>
          <w:u w:val="none"/>
          <w:lang w:val="en-US" w:eastAsia="zh-CN"/>
        </w:rPr>
        <w:t xml:space="preserve">附件1                             </w:t>
      </w:r>
      <w:r>
        <w:rPr>
          <w:rFonts w:hint="eastAsia" w:ascii="宋体" w:hAnsi="宋体"/>
          <w:b/>
          <w:bCs/>
          <w:sz w:val="36"/>
          <w:szCs w:val="36"/>
          <w:highlight w:val="none"/>
          <w:u w:val="single"/>
        </w:rPr>
        <w:t xml:space="preserve"> </w:t>
      </w:r>
      <w:r>
        <w:rPr>
          <w:rFonts w:hint="eastAsia" w:ascii="宋体" w:hAnsi="宋体"/>
          <w:b/>
          <w:bCs/>
          <w:sz w:val="36"/>
          <w:szCs w:val="36"/>
          <w:highlight w:val="none"/>
          <w:u w:val="single"/>
          <w:lang w:val="en-US" w:eastAsia="zh-CN"/>
        </w:rPr>
        <w:t>公司部分新建厂房工程</w:t>
      </w:r>
      <w:r>
        <w:rPr>
          <w:rFonts w:hint="eastAsia" w:ascii="宋体" w:hAnsi="宋体"/>
          <w:b/>
          <w:bCs/>
          <w:sz w:val="36"/>
          <w:szCs w:val="36"/>
          <w:highlight w:val="none"/>
          <w:u w:val="single"/>
          <w:lang w:eastAsia="zh-CN"/>
        </w:rPr>
        <w:t>桩基检测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171"/>
        <w:tblOverlap w:val="never"/>
        <w:tblW w:w="4816"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91"/>
        <w:gridCol w:w="1791"/>
        <w:gridCol w:w="716"/>
        <w:gridCol w:w="892"/>
        <w:gridCol w:w="968"/>
        <w:gridCol w:w="94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9" w:hRule="atLeast"/>
        </w:trPr>
        <w:tc>
          <w:tcPr>
            <w:tcW w:w="791"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791"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分项名称</w:t>
            </w:r>
          </w:p>
        </w:tc>
        <w:tc>
          <w:tcPr>
            <w:tcW w:w="716"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图号</w:t>
            </w:r>
          </w:p>
        </w:tc>
        <w:tc>
          <w:tcPr>
            <w:tcW w:w="89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968"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暂估工程量</w:t>
            </w:r>
          </w:p>
        </w:tc>
        <w:tc>
          <w:tcPr>
            <w:tcW w:w="9480"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highlight w:val="none"/>
                <w:u w:val="none"/>
                <w:lang w:val="en-US" w:eastAsia="zh-CN" w:bidi="ar"/>
              </w:rPr>
            </w:pPr>
            <w:bookmarkStart w:id="3" w:name="_GoBack"/>
            <w:bookmarkEnd w:id="3"/>
            <w:r>
              <w:rPr>
                <w:rFonts w:hint="eastAsia" w:ascii="宋体" w:hAnsi="宋体" w:eastAsia="宋体" w:cs="宋体"/>
                <w:b/>
                <w:bCs/>
                <w:i w:val="0"/>
                <w:iCs w:val="0"/>
                <w:color w:val="000000"/>
                <w:kern w:val="0"/>
                <w:sz w:val="22"/>
                <w:szCs w:val="22"/>
                <w:highlight w:val="none"/>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63" w:hRule="atLeast"/>
        </w:trPr>
        <w:tc>
          <w:tcPr>
            <w:tcW w:w="79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79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2"/>
                <w:szCs w:val="22"/>
                <w:highlight w:val="none"/>
              </w:rPr>
            </w:pPr>
            <w:r>
              <w:rPr>
                <w:rFonts w:hint="eastAsia" w:ascii="宋体" w:hAnsi="宋体" w:cs="宋体"/>
                <w:color w:val="000000"/>
                <w:kern w:val="0"/>
                <w:sz w:val="22"/>
                <w:szCs w:val="22"/>
                <w:highlight w:val="none"/>
                <w:lang w:val="en-US" w:eastAsia="zh-CN"/>
              </w:rPr>
              <w:t>管桩</w:t>
            </w:r>
            <w:r>
              <w:rPr>
                <w:rFonts w:hint="eastAsia" w:ascii="宋体" w:hAnsi="宋体" w:eastAsia="宋体" w:cs="宋体"/>
                <w:color w:val="000000"/>
                <w:kern w:val="0"/>
                <w:sz w:val="22"/>
                <w:szCs w:val="22"/>
                <w:highlight w:val="none"/>
                <w:lang w:val="en-US" w:eastAsia="zh-CN"/>
              </w:rPr>
              <w:t>低应变检测</w:t>
            </w:r>
          </w:p>
        </w:tc>
        <w:tc>
          <w:tcPr>
            <w:tcW w:w="716" w:type="dxa"/>
            <w:vMerge w:val="restart"/>
            <w:tcBorders>
              <w:top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w:t>
            </w:r>
          </w:p>
        </w:tc>
        <w:tc>
          <w:tcPr>
            <w:tcW w:w="89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根</w:t>
            </w:r>
          </w:p>
        </w:tc>
        <w:tc>
          <w:tcPr>
            <w:tcW w:w="96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405</w:t>
            </w:r>
          </w:p>
        </w:tc>
        <w:tc>
          <w:tcPr>
            <w:tcW w:w="948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拦标价：</w:t>
            </w:r>
            <w:r>
              <w:rPr>
                <w:rFonts w:hint="eastAsia" w:ascii="宋体" w:hAnsi="宋体" w:cs="宋体"/>
                <w:i w:val="0"/>
                <w:iCs w:val="0"/>
                <w:color w:val="000000"/>
                <w:kern w:val="0"/>
                <w:sz w:val="22"/>
                <w:szCs w:val="22"/>
                <w:highlight w:val="none"/>
                <w:u w:val="none"/>
                <w:lang w:val="en-US" w:eastAsia="zh-CN" w:bidi="ar"/>
              </w:rPr>
              <w:t>25</w:t>
            </w:r>
            <w:r>
              <w:rPr>
                <w:rFonts w:hint="eastAsia" w:ascii="宋体" w:hAnsi="宋体" w:eastAsia="宋体" w:cs="宋体"/>
                <w:i w:val="0"/>
                <w:iCs w:val="0"/>
                <w:color w:val="000000"/>
                <w:kern w:val="0"/>
                <w:sz w:val="22"/>
                <w:szCs w:val="22"/>
                <w:highlight w:val="none"/>
                <w:u w:val="none"/>
                <w:lang w:val="en-US" w:eastAsia="zh-CN" w:bidi="ar"/>
              </w:rPr>
              <w:t>元/根。包括低应变检测的测前准备、数据采集、数据分析、桩身质量评定与报告编写</w:t>
            </w:r>
            <w:r>
              <w:rPr>
                <w:rFonts w:hint="eastAsia" w:ascii="宋体" w:hAnsi="宋体" w:eastAsia="宋体" w:cs="宋体"/>
                <w:i w:val="0"/>
                <w:iCs w:val="0"/>
                <w:color w:val="000000"/>
                <w:kern w:val="0"/>
                <w:sz w:val="21"/>
                <w:szCs w:val="21"/>
                <w:u w:val="none"/>
                <w:lang w:val="en-US" w:eastAsia="zh-CN" w:bidi="ar"/>
              </w:rPr>
              <w:t>等工序的人工费、材料费、机械费、水电费、税金等所有费用</w:t>
            </w:r>
            <w:r>
              <w:rPr>
                <w:rFonts w:hint="eastAsia"/>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74" w:hRule="atLeast"/>
        </w:trPr>
        <w:tc>
          <w:tcPr>
            <w:tcW w:w="79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highlight w:val="none"/>
                <w:u w:val="none"/>
                <w:lang w:val="en-US" w:eastAsia="zh-CN"/>
              </w:rPr>
              <w:t>管桩</w:t>
            </w:r>
            <w:r>
              <w:rPr>
                <w:rFonts w:hint="eastAsia" w:ascii="宋体" w:hAnsi="宋体" w:eastAsia="宋体" w:cs="宋体"/>
                <w:color w:val="000000"/>
                <w:kern w:val="0"/>
                <w:sz w:val="22"/>
                <w:szCs w:val="22"/>
                <w:highlight w:val="none"/>
                <w:u w:val="none"/>
              </w:rPr>
              <w:t>竖向静载试验</w:t>
            </w:r>
            <w:r>
              <w:rPr>
                <w:rFonts w:hint="eastAsia" w:ascii="宋体" w:hAnsi="宋体" w:eastAsia="宋体" w:cs="宋体"/>
                <w:i w:val="0"/>
                <w:iCs w:val="0"/>
                <w:color w:val="000000"/>
                <w:kern w:val="0"/>
                <w:sz w:val="22"/>
                <w:szCs w:val="22"/>
                <w:highlight w:val="none"/>
                <w:u w:val="none"/>
                <w:lang w:val="en-US" w:eastAsia="zh-CN" w:bidi="ar"/>
              </w:rPr>
              <w:t>（</w:t>
            </w:r>
            <w:r>
              <w:rPr>
                <w:rStyle w:val="30"/>
                <w:rFonts w:hint="eastAsia" w:ascii="宋体" w:hAnsi="宋体" w:eastAsia="宋体" w:cs="宋体"/>
                <w:sz w:val="22"/>
                <w:szCs w:val="22"/>
                <w:highlight w:val="none"/>
                <w:u w:val="none"/>
                <w:lang w:val="en-US" w:eastAsia="zh-CN" w:bidi="ar"/>
              </w:rPr>
              <w:t>单桩极限承载力标准值1470KN</w:t>
            </w:r>
            <w:r>
              <w:rPr>
                <w:rStyle w:val="27"/>
                <w:rFonts w:hint="eastAsia" w:ascii="宋体" w:hAnsi="宋体" w:eastAsia="宋体" w:cs="宋体"/>
                <w:sz w:val="22"/>
                <w:szCs w:val="22"/>
                <w:highlight w:val="none"/>
                <w:u w:val="none"/>
                <w:lang w:val="en-US" w:eastAsia="zh-CN" w:bidi="ar"/>
              </w:rPr>
              <w:t>）</w:t>
            </w:r>
          </w:p>
        </w:tc>
        <w:tc>
          <w:tcPr>
            <w:tcW w:w="716" w:type="dxa"/>
            <w:vMerge w:val="continue"/>
            <w:tcBorders>
              <w:right w:val="single" w:color="auto" w:sz="4" w:space="0"/>
            </w:tcBorders>
            <w:vAlign w:val="center"/>
          </w:tcPr>
          <w:p>
            <w:pPr>
              <w:jc w:val="center"/>
              <w:rPr>
                <w:rFonts w:hint="eastAsia" w:ascii="宋体" w:hAnsi="宋体" w:eastAsia="宋体" w:cs="宋体"/>
                <w:i w:val="0"/>
                <w:color w:val="000000"/>
                <w:kern w:val="0"/>
                <w:sz w:val="22"/>
                <w:szCs w:val="22"/>
                <w:highlight w:val="none"/>
                <w:u w:val="none"/>
                <w:lang w:val="en-US" w:eastAsia="zh-CN" w:bidi="ar"/>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10KN</w:t>
            </w: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1029</w:t>
            </w:r>
          </w:p>
        </w:tc>
        <w:tc>
          <w:tcPr>
            <w:tcW w:w="9480" w:type="dxa"/>
            <w:tcBorders>
              <w:top w:val="single" w:color="auto" w:sz="4" w:space="0"/>
              <w:left w:val="single" w:color="auto" w:sz="4" w:space="0"/>
              <w:bottom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拦标价：55</w:t>
            </w:r>
            <w:r>
              <w:rPr>
                <w:rFonts w:hint="eastAsia" w:ascii="宋体" w:hAnsi="宋体" w:eastAsia="宋体" w:cs="宋体"/>
                <w:i w:val="0"/>
                <w:iCs w:val="0"/>
                <w:color w:val="000000"/>
                <w:kern w:val="0"/>
                <w:sz w:val="22"/>
                <w:szCs w:val="22"/>
                <w:u w:val="none"/>
                <w:lang w:val="en-US" w:eastAsia="zh-CN" w:bidi="ar"/>
              </w:rPr>
              <w:t>元/10KN</w:t>
            </w:r>
            <w:r>
              <w:rPr>
                <w:rFonts w:hint="eastAsia" w:ascii="宋体" w:hAnsi="宋体" w:eastAsia="宋体" w:cs="宋体"/>
                <w:i w:val="0"/>
                <w:iCs w:val="0"/>
                <w:color w:val="000000"/>
                <w:kern w:val="0"/>
                <w:sz w:val="22"/>
                <w:szCs w:val="22"/>
                <w:highlight w:val="none"/>
                <w:u w:val="none"/>
                <w:lang w:val="en-US" w:eastAsia="zh-CN" w:bidi="ar"/>
              </w:rPr>
              <w:t>。包括桩基静载试验的加载、卸载、记录、数据分析、报告编写</w:t>
            </w:r>
            <w:r>
              <w:rPr>
                <w:rFonts w:hint="eastAsia" w:ascii="宋体" w:hAnsi="宋体" w:eastAsia="宋体" w:cs="宋体"/>
                <w:i w:val="0"/>
                <w:iCs w:val="0"/>
                <w:color w:val="000000"/>
                <w:kern w:val="0"/>
                <w:sz w:val="21"/>
                <w:szCs w:val="21"/>
                <w:u w:val="none"/>
                <w:lang w:val="en-US" w:eastAsia="zh-CN" w:bidi="ar"/>
              </w:rPr>
              <w:t>等工序的人工费、材料费、机械费、水电费、税金等所有费用</w:t>
            </w:r>
            <w:r>
              <w:rPr>
                <w:rFonts w:hint="eastAsia"/>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94" w:hRule="atLeast"/>
        </w:trPr>
        <w:tc>
          <w:tcPr>
            <w:tcW w:w="79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highlight w:val="none"/>
                <w:u w:val="none"/>
                <w:lang w:val="en-US" w:eastAsia="zh-CN"/>
              </w:rPr>
              <w:t>管桩</w:t>
            </w:r>
            <w:r>
              <w:rPr>
                <w:rFonts w:hint="eastAsia" w:ascii="宋体" w:hAnsi="宋体" w:eastAsia="宋体" w:cs="宋体"/>
                <w:color w:val="000000"/>
                <w:kern w:val="0"/>
                <w:sz w:val="22"/>
                <w:szCs w:val="22"/>
                <w:highlight w:val="none"/>
                <w:u w:val="none"/>
              </w:rPr>
              <w:t>竖向静载试验</w:t>
            </w:r>
            <w:r>
              <w:rPr>
                <w:rFonts w:hint="eastAsia" w:ascii="宋体" w:hAnsi="宋体" w:eastAsia="宋体" w:cs="宋体"/>
                <w:i w:val="0"/>
                <w:iCs w:val="0"/>
                <w:color w:val="000000"/>
                <w:kern w:val="0"/>
                <w:sz w:val="22"/>
                <w:szCs w:val="22"/>
                <w:highlight w:val="none"/>
                <w:u w:val="none"/>
                <w:lang w:val="en-US" w:eastAsia="zh-CN" w:bidi="ar"/>
              </w:rPr>
              <w:t>（</w:t>
            </w:r>
            <w:r>
              <w:rPr>
                <w:rStyle w:val="30"/>
                <w:rFonts w:hint="eastAsia" w:ascii="宋体" w:hAnsi="宋体" w:eastAsia="宋体" w:cs="宋体"/>
                <w:sz w:val="22"/>
                <w:szCs w:val="22"/>
                <w:highlight w:val="none"/>
                <w:u w:val="none"/>
                <w:lang w:val="en-US" w:eastAsia="zh-CN" w:bidi="ar"/>
              </w:rPr>
              <w:t>单桩极限承载力标准值2300KN</w:t>
            </w:r>
            <w:r>
              <w:rPr>
                <w:rStyle w:val="27"/>
                <w:rFonts w:hint="eastAsia" w:ascii="宋体" w:hAnsi="宋体" w:eastAsia="宋体" w:cs="宋体"/>
                <w:sz w:val="22"/>
                <w:szCs w:val="22"/>
                <w:highlight w:val="none"/>
                <w:u w:val="none"/>
                <w:lang w:val="en-US" w:eastAsia="zh-CN" w:bidi="ar"/>
              </w:rPr>
              <w:t>）</w:t>
            </w:r>
          </w:p>
        </w:tc>
        <w:tc>
          <w:tcPr>
            <w:tcW w:w="716" w:type="dxa"/>
            <w:vMerge w:val="continue"/>
            <w:tcBorders>
              <w:right w:val="single" w:color="auto" w:sz="4" w:space="0"/>
            </w:tcBorders>
            <w:vAlign w:val="center"/>
          </w:tcPr>
          <w:p>
            <w:pPr>
              <w:jc w:val="center"/>
              <w:rPr>
                <w:rFonts w:hint="eastAsia" w:ascii="宋体" w:hAnsi="宋体" w:eastAsia="宋体" w:cs="宋体"/>
                <w:i w:val="0"/>
                <w:color w:val="000000"/>
                <w:kern w:val="0"/>
                <w:sz w:val="22"/>
                <w:szCs w:val="22"/>
                <w:highlight w:val="none"/>
                <w:u w:val="none"/>
                <w:lang w:val="en-US" w:eastAsia="zh-CN" w:bidi="ar"/>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10KN</w:t>
            </w: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690</w:t>
            </w:r>
          </w:p>
        </w:tc>
        <w:tc>
          <w:tcPr>
            <w:tcW w:w="9480"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拦标价：55</w:t>
            </w:r>
            <w:r>
              <w:rPr>
                <w:rFonts w:hint="eastAsia" w:ascii="宋体" w:hAnsi="宋体" w:eastAsia="宋体" w:cs="宋体"/>
                <w:i w:val="0"/>
                <w:iCs w:val="0"/>
                <w:color w:val="000000"/>
                <w:kern w:val="0"/>
                <w:sz w:val="22"/>
                <w:szCs w:val="22"/>
                <w:u w:val="none"/>
                <w:lang w:val="en-US" w:eastAsia="zh-CN" w:bidi="ar"/>
              </w:rPr>
              <w:t>元/10KN</w:t>
            </w:r>
            <w:r>
              <w:rPr>
                <w:rFonts w:hint="eastAsia" w:ascii="宋体" w:hAnsi="宋体" w:eastAsia="宋体" w:cs="宋体"/>
                <w:i w:val="0"/>
                <w:iCs w:val="0"/>
                <w:color w:val="000000"/>
                <w:kern w:val="0"/>
                <w:sz w:val="22"/>
                <w:szCs w:val="22"/>
                <w:highlight w:val="none"/>
                <w:u w:val="none"/>
                <w:lang w:val="en-US" w:eastAsia="zh-CN" w:bidi="ar"/>
              </w:rPr>
              <w:t>。包括桩基静载试验的加载、卸载、记录、数据分析、报告编写</w:t>
            </w:r>
            <w:r>
              <w:rPr>
                <w:rFonts w:hint="eastAsia" w:ascii="宋体" w:hAnsi="宋体" w:eastAsia="宋体" w:cs="宋体"/>
                <w:i w:val="0"/>
                <w:iCs w:val="0"/>
                <w:color w:val="000000"/>
                <w:kern w:val="0"/>
                <w:sz w:val="21"/>
                <w:szCs w:val="21"/>
                <w:u w:val="none"/>
                <w:lang w:val="en-US" w:eastAsia="zh-CN" w:bidi="ar"/>
              </w:rPr>
              <w:t>等工序的人工费、材料费、机械费、水电费、税金等所有费用</w:t>
            </w:r>
            <w:r>
              <w:rPr>
                <w:rFonts w:hint="eastAsia"/>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94" w:hRule="atLeast"/>
        </w:trPr>
        <w:tc>
          <w:tcPr>
            <w:tcW w:w="791"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机械设备进出场</w:t>
            </w:r>
            <w:r>
              <w:rPr>
                <w:rFonts w:hint="eastAsia" w:ascii="宋体" w:hAnsi="宋体" w:cs="宋体"/>
                <w:i w:val="0"/>
                <w:iCs w:val="0"/>
                <w:color w:val="000000"/>
                <w:kern w:val="0"/>
                <w:sz w:val="22"/>
                <w:szCs w:val="22"/>
                <w:highlight w:val="none"/>
                <w:u w:val="none"/>
                <w:lang w:val="en-US" w:eastAsia="zh-CN" w:bidi="ar"/>
              </w:rPr>
              <w:t>费用</w:t>
            </w:r>
          </w:p>
        </w:tc>
        <w:tc>
          <w:tcPr>
            <w:tcW w:w="716" w:type="dxa"/>
            <w:vMerge w:val="continue"/>
            <w:tcBorders>
              <w:bottom w:val="single" w:color="auto" w:sz="4" w:space="0"/>
              <w:right w:val="single" w:color="auto" w:sz="4" w:space="0"/>
            </w:tcBorders>
            <w:vAlign w:val="center"/>
          </w:tcPr>
          <w:p>
            <w:pPr>
              <w:jc w:val="center"/>
              <w:rPr>
                <w:rFonts w:hint="eastAsia" w:ascii="宋体" w:hAnsi="宋体" w:eastAsia="宋体" w:cs="宋体"/>
                <w:i w:val="0"/>
                <w:color w:val="000000"/>
                <w:kern w:val="0"/>
                <w:sz w:val="22"/>
                <w:szCs w:val="22"/>
                <w:highlight w:val="none"/>
                <w:u w:val="none"/>
                <w:lang w:val="en-US" w:eastAsia="zh-CN" w:bidi="ar"/>
              </w:rPr>
            </w:pP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i w:val="0"/>
                <w:iCs w:val="0"/>
                <w:color w:val="000000"/>
                <w:kern w:val="0"/>
                <w:sz w:val="22"/>
                <w:szCs w:val="22"/>
                <w:highlight w:val="none"/>
                <w:u w:val="none"/>
                <w:lang w:val="en-US" w:eastAsia="zh-CN" w:bidi="ar"/>
              </w:rPr>
              <w:t>台次</w:t>
            </w: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w:t>
            </w:r>
          </w:p>
        </w:tc>
        <w:tc>
          <w:tcPr>
            <w:tcW w:w="9480"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w:t>
            </w:r>
            <w:r>
              <w:rPr>
                <w:rFonts w:hint="eastAsia" w:ascii="宋体" w:hAnsi="宋体" w:cs="宋体"/>
                <w:i w:val="0"/>
                <w:iCs w:val="0"/>
                <w:color w:val="000000"/>
                <w:kern w:val="0"/>
                <w:sz w:val="22"/>
                <w:szCs w:val="22"/>
                <w:highlight w:val="none"/>
                <w:u w:val="none"/>
                <w:lang w:val="en-US" w:eastAsia="zh-CN" w:bidi="ar"/>
              </w:rPr>
              <w:t>15000</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cs="宋体"/>
                <w:i w:val="0"/>
                <w:iCs w:val="0"/>
                <w:color w:val="000000"/>
                <w:kern w:val="0"/>
                <w:sz w:val="22"/>
                <w:szCs w:val="22"/>
                <w:highlight w:val="none"/>
                <w:u w:val="none"/>
                <w:lang w:val="en-US" w:eastAsia="zh-CN" w:bidi="ar"/>
              </w:rPr>
              <w:t>台次</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1"/>
                <w:szCs w:val="21"/>
                <w:u w:val="none"/>
                <w:lang w:val="en-US" w:eastAsia="zh-CN" w:bidi="ar"/>
              </w:rPr>
              <w:t>包含：装、拆、卸、场外运输、税金等全部费用。</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highlight w:val="none"/>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2DF40E3"/>
    <w:multiLevelType w:val="singleLevel"/>
    <w:tmpl w:val="72DF40E3"/>
    <w:lvl w:ilvl="0" w:tentative="0">
      <w:start w:val="1"/>
      <w:numFmt w:val="decimal"/>
      <w:suff w:val="space"/>
      <w:lvlText w:val="%1."/>
      <w:lvlJc w:val="left"/>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6192C"/>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5D2007E"/>
    <w:rsid w:val="1A33768E"/>
    <w:rsid w:val="1B0616D0"/>
    <w:rsid w:val="1C7E1688"/>
    <w:rsid w:val="1C8160E7"/>
    <w:rsid w:val="1CAB7BE0"/>
    <w:rsid w:val="1DC136C9"/>
    <w:rsid w:val="202F3A4D"/>
    <w:rsid w:val="209B4FA7"/>
    <w:rsid w:val="214D2E1E"/>
    <w:rsid w:val="21D2437C"/>
    <w:rsid w:val="21F73AF2"/>
    <w:rsid w:val="23883F50"/>
    <w:rsid w:val="24C93CD8"/>
    <w:rsid w:val="24E835CF"/>
    <w:rsid w:val="251B0931"/>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549187D"/>
    <w:rsid w:val="4588524B"/>
    <w:rsid w:val="467B56CD"/>
    <w:rsid w:val="47807B49"/>
    <w:rsid w:val="4786146B"/>
    <w:rsid w:val="49806F97"/>
    <w:rsid w:val="4A1D777A"/>
    <w:rsid w:val="4B2C6678"/>
    <w:rsid w:val="4BEB70CE"/>
    <w:rsid w:val="4C2439BA"/>
    <w:rsid w:val="4C6D4D7D"/>
    <w:rsid w:val="4C6F1F1E"/>
    <w:rsid w:val="4EF83610"/>
    <w:rsid w:val="4FC1072C"/>
    <w:rsid w:val="507448EE"/>
    <w:rsid w:val="51C85998"/>
    <w:rsid w:val="526A207D"/>
    <w:rsid w:val="53966193"/>
    <w:rsid w:val="54831997"/>
    <w:rsid w:val="54DA0463"/>
    <w:rsid w:val="55286095"/>
    <w:rsid w:val="558D3BDC"/>
    <w:rsid w:val="56266223"/>
    <w:rsid w:val="56F435CB"/>
    <w:rsid w:val="57181B7C"/>
    <w:rsid w:val="579A163B"/>
    <w:rsid w:val="58251DDC"/>
    <w:rsid w:val="5953468B"/>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336AFB"/>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2022-02-24T01:45:41Z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