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搭临区改造项目公辅配套工程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204001DLQGFPTGC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搭临区改造项目公辅配套工程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周剑波        </w:t>
      </w:r>
      <w:r>
        <w:rPr>
          <w:rFonts w:hint="eastAsia" w:ascii="宋体" w:hAnsi="宋体" w:eastAsia="宋体" w:cs="宋体"/>
          <w:color w:val="2A2A2A"/>
          <w:kern w:val="0"/>
          <w:sz w:val="24"/>
          <w:szCs w:val="24"/>
        </w:rPr>
        <w:t>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w:t>
      </w:r>
      <w:bookmarkStart w:id="4" w:name="_GoBack"/>
      <w:bookmarkEnd w:id="4"/>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搭临区改造项目公辅配套工程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搭临区改造项目公辅配套工程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05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lang w:eastAsia="zh-CN"/>
        </w:rPr>
      </w:pPr>
      <w:r>
        <w:rPr>
          <w:rFonts w:hint="eastAsia" w:ascii="宋体" w:hAnsi="宋体"/>
          <w:lang w:val="en-US" w:eastAsia="zh-CN"/>
        </w:rPr>
        <w:t xml:space="preserve">2.  </w:t>
      </w:r>
      <w:r>
        <w:rPr>
          <w:rFonts w:hint="eastAsia" w:ascii="宋体" w:hAnsi="宋体"/>
          <w:lang w:eastAsia="zh-CN"/>
        </w:rPr>
        <w:t>工程概况和估算工作量：本工程内容包括搭临区办公楼、电气室及照明、给排水、采暖、防雷接地等施工。</w:t>
      </w:r>
    </w:p>
    <w:p>
      <w:pPr>
        <w:spacing w:line="360" w:lineRule="auto"/>
        <w:rPr>
          <w:rFonts w:hint="eastAsia" w:ascii="宋体" w:hAnsi="宋体"/>
          <w:lang w:eastAsia="zh-CN"/>
        </w:rPr>
      </w:pPr>
      <w:r>
        <w:rPr>
          <w:rFonts w:hint="eastAsia" w:ascii="宋体" w:hAnsi="宋体"/>
          <w:lang w:eastAsia="zh-CN"/>
        </w:rPr>
        <w:t>办公楼：三层钢筋混凝土框架结构，建筑面积1076.4m2，高11m。</w:t>
      </w:r>
    </w:p>
    <w:p>
      <w:pPr>
        <w:spacing w:line="360" w:lineRule="auto"/>
        <w:rPr>
          <w:rFonts w:hint="eastAsia" w:ascii="宋体" w:hAnsi="宋体"/>
          <w:lang w:eastAsia="zh-CN"/>
        </w:rPr>
      </w:pPr>
      <w:r>
        <w:rPr>
          <w:rFonts w:hint="eastAsia" w:ascii="宋体" w:hAnsi="宋体"/>
          <w:lang w:eastAsia="zh-CN"/>
        </w:rPr>
        <w:t>电气室：二层钢筋混凝土框架结构，建筑面积130m2，高8m。</w:t>
      </w:r>
    </w:p>
    <w:p>
      <w:pPr>
        <w:spacing w:line="360" w:lineRule="auto"/>
        <w:rPr>
          <w:rFonts w:hint="eastAsia" w:ascii="宋体" w:hAnsi="宋体"/>
          <w:lang w:val="en-US" w:eastAsia="zh-CN"/>
        </w:rPr>
      </w:pPr>
      <w:r>
        <w:rPr>
          <w:rFonts w:hint="eastAsia" w:ascii="宋体" w:hAnsi="宋体"/>
          <w:lang w:eastAsia="zh-CN"/>
        </w:rPr>
        <w:t>估算工程量：砼浇筑约500m3、钢筋制安约75t、砖砌筑约414 m3、刷(涂料)漆约5600m2、瓷砖粘贴约1100 m2等</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开工日期： 2022年</w:t>
      </w:r>
      <w:r>
        <w:rPr>
          <w:rFonts w:hint="eastAsia" w:ascii="宋体" w:hAnsi="宋体"/>
          <w:lang w:val="en-US" w:eastAsia="zh-CN"/>
        </w:rPr>
        <w:t>04</w:t>
      </w:r>
      <w:r>
        <w:rPr>
          <w:rFonts w:hint="eastAsia" w:ascii="宋体" w:hAnsi="宋体"/>
          <w:lang w:eastAsia="zh-CN"/>
        </w:rPr>
        <w:t>月</w:t>
      </w:r>
      <w:r>
        <w:rPr>
          <w:rFonts w:hint="eastAsia" w:ascii="宋体" w:hAnsi="宋体"/>
          <w:lang w:val="en-US" w:eastAsia="zh-CN"/>
        </w:rPr>
        <w:t>20</w:t>
      </w:r>
      <w:r>
        <w:rPr>
          <w:rFonts w:hint="eastAsia" w:ascii="宋体" w:hAnsi="宋体"/>
          <w:lang w:eastAsia="zh-CN"/>
        </w:rPr>
        <w:t xml:space="preserve">日 （暂定）                                          </w:t>
      </w:r>
    </w:p>
    <w:p>
      <w:pPr>
        <w:spacing w:line="360" w:lineRule="auto"/>
        <w:rPr>
          <w:rFonts w:hint="eastAsia" w:ascii="宋体" w:hAnsi="宋体"/>
          <w:lang w:eastAsia="zh-CN"/>
        </w:rPr>
      </w:pPr>
      <w:r>
        <w:rPr>
          <w:rFonts w:hint="eastAsia" w:ascii="宋体" w:hAnsi="宋体"/>
          <w:lang w:eastAsia="zh-CN"/>
        </w:rPr>
        <w:t>竣工日期： 2022年</w:t>
      </w:r>
      <w:r>
        <w:rPr>
          <w:rFonts w:hint="eastAsia" w:ascii="宋体" w:hAnsi="宋体"/>
          <w:lang w:val="en-US" w:eastAsia="zh-CN"/>
        </w:rPr>
        <w:t>06</w:t>
      </w:r>
      <w:r>
        <w:rPr>
          <w:rFonts w:hint="eastAsia" w:ascii="宋体" w:hAnsi="宋体"/>
          <w:lang w:eastAsia="zh-CN"/>
        </w:rPr>
        <w:t>月</w:t>
      </w:r>
      <w:r>
        <w:rPr>
          <w:rFonts w:hint="eastAsia" w:ascii="宋体" w:hAnsi="宋体"/>
          <w:lang w:val="en-US" w:eastAsia="zh-CN"/>
        </w:rPr>
        <w:t>23</w:t>
      </w:r>
      <w:r>
        <w:rPr>
          <w:rFonts w:hint="eastAsia" w:ascii="宋体" w:hAnsi="宋体"/>
          <w:lang w:eastAsia="zh-CN"/>
        </w:rPr>
        <w:t xml:space="preserve">日                                              </w:t>
      </w:r>
    </w:p>
    <w:p>
      <w:pPr>
        <w:spacing w:line="360" w:lineRule="auto"/>
        <w:rPr>
          <w:rFonts w:ascii="宋体" w:hAnsi="宋体"/>
        </w:rPr>
      </w:pPr>
      <w:r>
        <w:rPr>
          <w:rFonts w:hint="eastAsia" w:ascii="宋体" w:hAnsi="宋体"/>
          <w:lang w:eastAsia="zh-CN"/>
        </w:rPr>
        <w:t xml:space="preserve">合同工期总日历天数   </w:t>
      </w:r>
      <w:r>
        <w:rPr>
          <w:rFonts w:hint="eastAsia" w:ascii="宋体" w:hAnsi="宋体"/>
          <w:lang w:val="en-US" w:eastAsia="zh-CN"/>
        </w:rPr>
        <w:t>65</w:t>
      </w:r>
      <w:r>
        <w:rPr>
          <w:rFonts w:hint="eastAsia" w:ascii="宋体" w:hAnsi="宋体"/>
          <w:lang w:eastAsia="zh-CN"/>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hint="eastAsia" w:ascii="宋体" w:hAnsi="宋体" w:eastAsiaTheme="minorEastAsia" w:cstheme="minorBidi"/>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外不予调整，钢材价格以2021年第11期芜湖市市场信息价为基准，芜湖市市场信息价没有的以合肥市市场信息价为基准，若施工期间材料单价涨跌幅超过±5%时，其超过部分据实调整钢材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r>
        <w:rPr>
          <w:rFonts w:hint="eastAsia" w:ascii="宋体" w:hAnsi="宋体" w:eastAsiaTheme="minorEastAsia" w:cstheme="minorBidi"/>
          <w:bCs/>
          <w:kern w:val="2"/>
          <w:sz w:val="21"/>
          <w:szCs w:val="22"/>
          <w:lang w:val="en-US" w:eastAsia="zh-CN" w:bidi="ar-SA"/>
        </w:rPr>
        <w:t>。</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13.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贰仟圆整（¥：2000元整）。竣工工期每延误1天，承包人向发包人支付违约金伍仟圆整（¥：5000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2"/>
          <w:szCs w:val="32"/>
        </w:rPr>
      </w:pPr>
      <w:r>
        <w:rPr>
          <w:rFonts w:hint="eastAsia" w:ascii="宋体" w:hAnsi="宋体"/>
          <w:b/>
          <w:bCs/>
          <w:sz w:val="32"/>
          <w:szCs w:val="32"/>
        </w:rPr>
        <w:t>搭临区改造项目公辅配套工程报价单</w:t>
      </w:r>
    </w:p>
    <w:tbl>
      <w:tblPr>
        <w:tblStyle w:val="13"/>
        <w:tblpPr w:leftFromText="180" w:rightFromText="180" w:vertAnchor="text" w:horzAnchor="page" w:tblpX="1089" w:tblpY="345"/>
        <w:tblOverlap w:val="never"/>
        <w:tblW w:w="14578" w:type="dxa"/>
        <w:tblInd w:w="0" w:type="dxa"/>
        <w:tblLayout w:type="fixed"/>
        <w:tblCellMar>
          <w:top w:w="0" w:type="dxa"/>
          <w:left w:w="108" w:type="dxa"/>
          <w:bottom w:w="0" w:type="dxa"/>
          <w:right w:w="108" w:type="dxa"/>
        </w:tblCellMar>
      </w:tblPr>
      <w:tblGrid>
        <w:gridCol w:w="756"/>
        <w:gridCol w:w="2301"/>
        <w:gridCol w:w="737"/>
        <w:gridCol w:w="1061"/>
        <w:gridCol w:w="1362"/>
        <w:gridCol w:w="1666"/>
        <w:gridCol w:w="6695"/>
      </w:tblGrid>
      <w:tr>
        <w:tblPrEx>
          <w:tblCellMar>
            <w:top w:w="0" w:type="dxa"/>
            <w:left w:w="108" w:type="dxa"/>
            <w:bottom w:w="0" w:type="dxa"/>
            <w:right w:w="108" w:type="dxa"/>
          </w:tblCellMar>
        </w:tblPrEx>
        <w:trPr>
          <w:trHeight w:val="351"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序号</w:t>
            </w:r>
          </w:p>
        </w:tc>
        <w:tc>
          <w:tcPr>
            <w:tcW w:w="23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分项名称</w:t>
            </w:r>
          </w:p>
        </w:tc>
        <w:tc>
          <w:tcPr>
            <w:tcW w:w="7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单位</w:t>
            </w:r>
          </w:p>
        </w:tc>
        <w:tc>
          <w:tcPr>
            <w:tcW w:w="10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暂估工程量</w:t>
            </w:r>
          </w:p>
        </w:tc>
        <w:tc>
          <w:tcPr>
            <w:tcW w:w="13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拦标价</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报价</w:t>
            </w:r>
          </w:p>
        </w:tc>
        <w:tc>
          <w:tcPr>
            <w:tcW w:w="66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工作内容</w:t>
            </w:r>
          </w:p>
        </w:tc>
      </w:tr>
      <w:tr>
        <w:tblPrEx>
          <w:tblCellMar>
            <w:top w:w="0" w:type="dxa"/>
            <w:left w:w="108" w:type="dxa"/>
            <w:bottom w:w="0" w:type="dxa"/>
            <w:right w:w="108" w:type="dxa"/>
          </w:tblCellMar>
        </w:tblPrEx>
        <w:trPr>
          <w:trHeight w:val="317" w:hRule="atLeast"/>
        </w:trPr>
        <w:tc>
          <w:tcPr>
            <w:tcW w:w="14578"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5"/>
                <w:szCs w:val="15"/>
              </w:rPr>
            </w:pPr>
            <w:r>
              <w:rPr>
                <w:rFonts w:hint="eastAsia" w:ascii="宋体" w:hAnsi="宋体" w:cs="宋体"/>
                <w:color w:val="000000"/>
                <w:kern w:val="0"/>
                <w:sz w:val="15"/>
                <w:szCs w:val="15"/>
              </w:rPr>
              <w:t>一、单价包干部分</w:t>
            </w:r>
          </w:p>
        </w:tc>
      </w:tr>
      <w:tr>
        <w:tblPrEx>
          <w:tblCellMar>
            <w:top w:w="0" w:type="dxa"/>
            <w:left w:w="108" w:type="dxa"/>
            <w:bottom w:w="0" w:type="dxa"/>
            <w:right w:w="108" w:type="dxa"/>
          </w:tblCellMar>
        </w:tblPrEx>
        <w:trPr>
          <w:trHeight w:val="440"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5"/>
                <w:szCs w:val="15"/>
              </w:rPr>
            </w:pPr>
            <w:r>
              <w:rPr>
                <w:rFonts w:hint="eastAsia" w:ascii="宋体" w:hAnsi="宋体"/>
                <w:color w:val="000000"/>
                <w:sz w:val="15"/>
                <w:szCs w:val="15"/>
              </w:rPr>
              <w:t>1</w:t>
            </w:r>
          </w:p>
        </w:tc>
        <w:tc>
          <w:tcPr>
            <w:tcW w:w="2301"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15"/>
                <w:szCs w:val="15"/>
              </w:rPr>
            </w:pPr>
            <w:r>
              <w:rPr>
                <w:rFonts w:hint="eastAsia" w:ascii="宋体" w:hAnsi="宋体"/>
                <w:color w:val="000000"/>
                <w:kern w:val="0"/>
                <w:sz w:val="15"/>
                <w:szCs w:val="15"/>
              </w:rPr>
              <w:t>机械开挖土方</w:t>
            </w:r>
          </w:p>
        </w:tc>
        <w:tc>
          <w:tcPr>
            <w:tcW w:w="73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vertAlign w:val="superscript"/>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widowControl/>
              <w:jc w:val="center"/>
              <w:rPr>
                <w:rFonts w:ascii="宋体" w:hAnsi="宋体"/>
                <w:sz w:val="15"/>
                <w:szCs w:val="15"/>
              </w:rPr>
            </w:pPr>
            <w:r>
              <w:rPr>
                <w:rFonts w:hint="eastAsia" w:ascii="宋体" w:hAnsi="宋体"/>
                <w:sz w:val="15"/>
                <w:szCs w:val="15"/>
              </w:rPr>
              <w:t>485</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36元/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包括开挖、装车、外排（外运5km）人工清底等涉及的全部工序及人工费、机械费、材料费、措施费、不可竞争费、税金、水电费等全部费用。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365" w:hRule="atLeast"/>
        </w:trPr>
        <w:tc>
          <w:tcPr>
            <w:tcW w:w="756" w:type="dxa"/>
            <w:tcBorders>
              <w:top w:val="nil"/>
              <w:left w:val="single" w:color="auto" w:sz="4" w:space="0"/>
              <w:bottom w:val="nil"/>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2</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土方回填</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78</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28元/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2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3</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砼浇筑</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500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1350元/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包括卸车、运输、倒运、支模、对拉丝、浇筑、脚手架、养生、伸缩缝施工等涉及的全部工序及人工费、机械费、材料费、措施费、不可竞争费、税金、水电费等全部费用。</w:t>
            </w:r>
          </w:p>
        </w:tc>
      </w:tr>
      <w:tr>
        <w:tblPrEx>
          <w:tblCellMar>
            <w:top w:w="0" w:type="dxa"/>
            <w:left w:w="108" w:type="dxa"/>
            <w:bottom w:w="0" w:type="dxa"/>
            <w:right w:w="108" w:type="dxa"/>
          </w:tblCellMar>
        </w:tblPrEx>
        <w:trPr>
          <w:trHeight w:val="255"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4</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钢筋制安</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t</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75</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1450元/</w:t>
            </w:r>
            <w:r>
              <w:rPr>
                <w:rFonts w:ascii="宋体" w:hAnsi="宋体"/>
                <w:sz w:val="15"/>
                <w:szCs w:val="15"/>
              </w:rPr>
              <w:t>t</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sz w:val="15"/>
                <w:szCs w:val="15"/>
              </w:rPr>
              <w:t>t</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包括卸车、运输、倒运、制作、安装等涉及的全部工序及人工费、机械费、材料费</w:t>
            </w:r>
            <w:r>
              <w:rPr>
                <w:rFonts w:hint="eastAsia" w:ascii="宋体" w:hAnsi="宋体"/>
                <w:b/>
                <w:sz w:val="15"/>
                <w:szCs w:val="15"/>
              </w:rPr>
              <w:t>(不含钢筋材料费)</w:t>
            </w:r>
            <w:r>
              <w:rPr>
                <w:rFonts w:hint="eastAsia" w:ascii="宋体" w:hAnsi="宋体"/>
                <w:sz w:val="15"/>
                <w:szCs w:val="15"/>
              </w:rPr>
              <w:t>、措施费、不可竞争费、税金、水电费等全部费用。</w:t>
            </w:r>
          </w:p>
        </w:tc>
      </w:tr>
      <w:tr>
        <w:tblPrEx>
          <w:tblCellMar>
            <w:top w:w="0" w:type="dxa"/>
            <w:left w:w="108" w:type="dxa"/>
            <w:bottom w:w="0" w:type="dxa"/>
            <w:right w:w="108" w:type="dxa"/>
          </w:tblCellMar>
        </w:tblPrEx>
        <w:trPr>
          <w:trHeight w:val="230"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5</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砖砌筑</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kern w:val="0"/>
                <w:sz w:val="15"/>
                <w:szCs w:val="15"/>
              </w:rPr>
              <w:t>m</w:t>
            </w:r>
            <w:r>
              <w:rPr>
                <w:rFonts w:ascii="宋体" w:hAnsi="宋体"/>
                <w:kern w:val="0"/>
                <w:sz w:val="15"/>
                <w:szCs w:val="15"/>
                <w:vertAlign w:val="superscript"/>
              </w:rPr>
              <w:t>3</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414</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850元/</w:t>
            </w:r>
            <w:r>
              <w:rPr>
                <w:rFonts w:ascii="宋体" w:hAnsi="宋体"/>
                <w:kern w:val="0"/>
                <w:sz w:val="15"/>
                <w:szCs w:val="15"/>
              </w:rPr>
              <w:t>m</w:t>
            </w:r>
            <w:r>
              <w:rPr>
                <w:rFonts w:ascii="宋体" w:hAnsi="宋体"/>
                <w:kern w:val="0"/>
                <w:sz w:val="15"/>
                <w:szCs w:val="15"/>
                <w:vertAlign w:val="superscript"/>
              </w:rPr>
              <w:t>3</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ascii="宋体" w:hAnsi="宋体"/>
                <w:kern w:val="0"/>
                <w:sz w:val="15"/>
                <w:szCs w:val="15"/>
                <w:vertAlign w:val="superscript"/>
              </w:rPr>
              <w:t>3</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包括搅拌调、运、铺砂浆，运砖，砌砖，脚手架等涉及的全部工序及人工费、机械费、材料费、措施费、不可竞争费、税金、水电费等全部费用。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1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6</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门窗（办公楼）</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vertAlign w:val="superscript"/>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237</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452元/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包括运输、卸车、安装等涉及的全部工序及人工费、机械费、材料费、措施费、不可竞争费、税金、水电费等全部费用。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7</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门窗（电气室）</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vertAlign w:val="superscript"/>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44</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620元/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包括运输、卸车、安装等涉及的全部工序及人工费、机械费、材料费、措施费、不可竞争费、税金、水电费等全部费用。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25"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8</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抹灰</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5600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42元/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包括清理、修补、湿润基础表面、分层抹灰找平、刷浆、洒水湿润、罩面压光等涉及的全部工序及人工费、机械费、材料费、措施费、不可竞争费、税金、水电费等全部费用。</w:t>
            </w:r>
          </w:p>
        </w:tc>
      </w:tr>
      <w:tr>
        <w:tblPrEx>
          <w:tblCellMar>
            <w:top w:w="0" w:type="dxa"/>
            <w:left w:w="108" w:type="dxa"/>
            <w:bottom w:w="0" w:type="dxa"/>
            <w:right w:w="108" w:type="dxa"/>
          </w:tblCellMar>
        </w:tblPrEx>
        <w:trPr>
          <w:trHeight w:val="167"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9</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刷(涂料)漆</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5600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30元/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包括基层清理、调料、遮盖不应喷处，批腻子、喷涂料、压平等涉及的全部工序及人工费、机械费、材料费、措施费、不可竞争费、税金、水电费等全部费用。不含轻钢龙骨隔墙面刷乳胶漆。</w:t>
            </w:r>
          </w:p>
        </w:tc>
      </w:tr>
      <w:tr>
        <w:tblPrEx>
          <w:tblCellMar>
            <w:top w:w="0" w:type="dxa"/>
            <w:left w:w="108" w:type="dxa"/>
            <w:bottom w:w="0" w:type="dxa"/>
            <w:right w:w="108" w:type="dxa"/>
          </w:tblCellMar>
        </w:tblPrEx>
        <w:trPr>
          <w:trHeight w:val="90"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10</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吊顶</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784</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110元/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包括吊筋、龙骨、面层安装涉及的全部工序及人工费、机械费、材料费、措施费、不可竞争费、税金、水电费等全部费用。</w:t>
            </w:r>
          </w:p>
        </w:tc>
      </w:tr>
      <w:tr>
        <w:tblPrEx>
          <w:tblCellMar>
            <w:top w:w="0" w:type="dxa"/>
            <w:left w:w="108" w:type="dxa"/>
            <w:bottom w:w="0" w:type="dxa"/>
            <w:right w:w="108" w:type="dxa"/>
          </w:tblCellMar>
        </w:tblPrEx>
        <w:trPr>
          <w:trHeight w:val="205"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11</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屋面</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472</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145元/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包括设计范围内的轻集料混凝土找坡层，保温层，水泥砂浆找平层，防水层，粒料保护层等涉及的全部工序及人工费、机械费、材料费、措施费、不可竞争费、税金、水电费等全部费用。</w:t>
            </w:r>
          </w:p>
        </w:tc>
      </w:tr>
      <w:tr>
        <w:tblPrEx>
          <w:tblCellMar>
            <w:top w:w="0" w:type="dxa"/>
            <w:left w:w="108" w:type="dxa"/>
            <w:bottom w:w="0" w:type="dxa"/>
            <w:right w:w="108" w:type="dxa"/>
          </w:tblCellMar>
        </w:tblPrEx>
        <w:trPr>
          <w:trHeight w:val="343" w:hRule="atLeast"/>
        </w:trPr>
        <w:tc>
          <w:tcPr>
            <w:tcW w:w="756"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12</w:t>
            </w:r>
          </w:p>
        </w:tc>
        <w:tc>
          <w:tcPr>
            <w:tcW w:w="2301" w:type="dxa"/>
            <w:tcBorders>
              <w:top w:val="nil"/>
              <w:left w:val="nil"/>
              <w:bottom w:val="single" w:color="auto" w:sz="4" w:space="0"/>
              <w:right w:val="single" w:color="auto" w:sz="4" w:space="0"/>
            </w:tcBorders>
            <w:vAlign w:val="center"/>
          </w:tcPr>
          <w:p>
            <w:pPr>
              <w:rPr>
                <w:rFonts w:ascii="宋体" w:hAnsi="宋体"/>
                <w:color w:val="000000"/>
                <w:sz w:val="15"/>
                <w:szCs w:val="15"/>
              </w:rPr>
            </w:pPr>
            <w:r>
              <w:rPr>
                <w:rFonts w:hint="eastAsia" w:ascii="宋体" w:hAnsi="宋体"/>
                <w:color w:val="000000"/>
                <w:sz w:val="15"/>
                <w:szCs w:val="15"/>
              </w:rPr>
              <w:t>瓷砖粘贴</w:t>
            </w:r>
          </w:p>
        </w:tc>
        <w:tc>
          <w:tcPr>
            <w:tcW w:w="737"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m</w:t>
            </w:r>
            <w:r>
              <w:rPr>
                <w:rFonts w:ascii="宋体" w:hAnsi="宋体"/>
                <w:sz w:val="15"/>
                <w:szCs w:val="15"/>
                <w:vertAlign w:val="superscript"/>
              </w:rPr>
              <w:t>2</w:t>
            </w:r>
          </w:p>
        </w:tc>
        <w:tc>
          <w:tcPr>
            <w:tcW w:w="1061" w:type="dxa"/>
            <w:tcBorders>
              <w:top w:val="nil"/>
              <w:left w:val="nil"/>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1100</w:t>
            </w:r>
          </w:p>
        </w:tc>
        <w:tc>
          <w:tcPr>
            <w:tcW w:w="1362" w:type="dxa"/>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140元/</w:t>
            </w:r>
            <w:r>
              <w:rPr>
                <w:rFonts w:ascii="宋体" w:hAnsi="宋体"/>
                <w:kern w:val="0"/>
                <w:sz w:val="15"/>
                <w:szCs w:val="15"/>
              </w:rPr>
              <w:t>m</w:t>
            </w:r>
            <w:r>
              <w:rPr>
                <w:rFonts w:hint="eastAsia" w:ascii="宋体" w:hAnsi="宋体"/>
                <w:kern w:val="0"/>
                <w:sz w:val="15"/>
                <w:szCs w:val="15"/>
                <w:vertAlign w:val="superscript"/>
              </w:rPr>
              <w:t>2</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5"/>
                <w:szCs w:val="15"/>
              </w:rPr>
            </w:pPr>
            <w:r>
              <w:rPr>
                <w:rFonts w:hint="eastAsia" w:ascii="宋体" w:hAnsi="宋体"/>
                <w:kern w:val="0"/>
                <w:sz w:val="15"/>
                <w:szCs w:val="15"/>
              </w:rPr>
              <w:t>元/</w:t>
            </w:r>
            <w:r>
              <w:rPr>
                <w:rFonts w:ascii="宋体" w:hAnsi="宋体"/>
                <w:kern w:val="0"/>
                <w:sz w:val="15"/>
                <w:szCs w:val="15"/>
              </w:rPr>
              <w:t>m</w:t>
            </w:r>
            <w:r>
              <w:rPr>
                <w:rFonts w:hint="eastAsia" w:ascii="宋体" w:hAnsi="宋体"/>
                <w:kern w:val="0"/>
                <w:sz w:val="15"/>
                <w:szCs w:val="15"/>
                <w:vertAlign w:val="superscript"/>
              </w:rPr>
              <w:t>2</w:t>
            </w:r>
          </w:p>
        </w:tc>
        <w:tc>
          <w:tcPr>
            <w:tcW w:w="6695" w:type="dxa"/>
            <w:tcBorders>
              <w:top w:val="single" w:color="auto" w:sz="4" w:space="0"/>
              <w:left w:val="nil"/>
              <w:bottom w:val="single" w:color="auto" w:sz="4" w:space="0"/>
              <w:right w:val="single" w:color="auto" w:sz="4" w:space="0"/>
            </w:tcBorders>
            <w:vAlign w:val="top"/>
          </w:tcPr>
          <w:p>
            <w:pPr>
              <w:rPr>
                <w:rFonts w:ascii="宋体" w:hAnsi="宋体"/>
                <w:sz w:val="15"/>
                <w:szCs w:val="15"/>
              </w:rPr>
            </w:pPr>
            <w:r>
              <w:rPr>
                <w:rFonts w:hint="eastAsia" w:ascii="宋体" w:hAnsi="宋体"/>
                <w:sz w:val="15"/>
                <w:szCs w:val="15"/>
              </w:rPr>
              <w:t>包括清理基层、调制水泥砂浆、刷素水泥浆、磨边、贴砖、擦缝、清理净面、成品养护等涉及的全部工序及人工费、机械费、材料费、措施费、不可竞争费、税金、水电费等全部费用。</w:t>
            </w:r>
          </w:p>
        </w:tc>
      </w:tr>
      <w:tr>
        <w:tblPrEx>
          <w:tblCellMar>
            <w:top w:w="0" w:type="dxa"/>
            <w:left w:w="108" w:type="dxa"/>
            <w:bottom w:w="0" w:type="dxa"/>
            <w:right w:w="108" w:type="dxa"/>
          </w:tblCellMar>
        </w:tblPrEx>
        <w:trPr>
          <w:trHeight w:val="317" w:hRule="atLeast"/>
        </w:trPr>
        <w:tc>
          <w:tcPr>
            <w:tcW w:w="14578"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color w:val="000000"/>
                <w:sz w:val="15"/>
                <w:szCs w:val="15"/>
              </w:rPr>
              <w:t>二、除单价包干外工作量</w:t>
            </w:r>
          </w:p>
        </w:tc>
      </w:tr>
      <w:tr>
        <w:tblPrEx>
          <w:tblCellMar>
            <w:top w:w="0" w:type="dxa"/>
            <w:left w:w="108" w:type="dxa"/>
            <w:bottom w:w="0" w:type="dxa"/>
            <w:right w:w="108" w:type="dxa"/>
          </w:tblCellMar>
        </w:tblPrEx>
        <w:trPr>
          <w:trHeight w:val="245" w:hRule="atLeast"/>
        </w:trPr>
        <w:tc>
          <w:tcPr>
            <w:tcW w:w="7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 w:val="15"/>
                <w:szCs w:val="15"/>
              </w:rPr>
            </w:pPr>
            <w:r>
              <w:rPr>
                <w:rFonts w:hint="eastAsia" w:ascii="宋体" w:hAnsi="宋体"/>
                <w:color w:val="000000"/>
                <w:sz w:val="15"/>
                <w:szCs w:val="15"/>
              </w:rPr>
              <w:t>13</w:t>
            </w:r>
          </w:p>
        </w:tc>
        <w:tc>
          <w:tcPr>
            <w:tcW w:w="2301" w:type="dxa"/>
            <w:tcBorders>
              <w:top w:val="nil"/>
              <w:left w:val="nil"/>
              <w:bottom w:val="single" w:color="auto" w:sz="4" w:space="0"/>
              <w:right w:val="single" w:color="auto" w:sz="4" w:space="0"/>
            </w:tcBorders>
            <w:vAlign w:val="center"/>
          </w:tcPr>
          <w:p>
            <w:pPr>
              <w:jc w:val="left"/>
              <w:rPr>
                <w:rFonts w:ascii="宋体" w:hAnsi="宋体"/>
                <w:color w:val="000000"/>
                <w:sz w:val="15"/>
                <w:szCs w:val="15"/>
                <w:u w:val="single"/>
              </w:rPr>
            </w:pPr>
            <w:r>
              <w:rPr>
                <w:rFonts w:hint="eastAsia" w:ascii="宋体" w:hAnsi="宋体"/>
                <w:sz w:val="15"/>
                <w:szCs w:val="15"/>
              </w:rPr>
              <w:t>优惠率（不包含材料费）</w:t>
            </w:r>
          </w:p>
        </w:tc>
        <w:tc>
          <w:tcPr>
            <w:tcW w:w="1798" w:type="dxa"/>
            <w:gridSpan w:val="2"/>
            <w:tcBorders>
              <w:top w:val="nil"/>
              <w:left w:val="nil"/>
              <w:bottom w:val="single" w:color="auto" w:sz="4" w:space="0"/>
              <w:right w:val="single" w:color="auto" w:sz="4" w:space="0"/>
            </w:tcBorders>
            <w:vAlign w:val="center"/>
          </w:tcPr>
          <w:p>
            <w:pPr>
              <w:ind w:left="150" w:leftChars="0" w:hanging="150" w:hangingChars="100"/>
              <w:jc w:val="left"/>
              <w:rPr>
                <w:rFonts w:ascii="宋体" w:hAnsi="宋体"/>
                <w:color w:val="000000"/>
                <w:sz w:val="15"/>
                <w:szCs w:val="15"/>
              </w:rPr>
            </w:pPr>
            <w:r>
              <w:rPr>
                <w:rFonts w:hint="eastAsia" w:ascii="宋体" w:hAnsi="宋体"/>
                <w:bCs/>
                <w:sz w:val="15"/>
                <w:szCs w:val="15"/>
              </w:rPr>
              <w:t>暂估</w:t>
            </w:r>
            <w:r>
              <w:rPr>
                <w:rFonts w:hint="eastAsia" w:ascii="宋体" w:hAnsi="宋体"/>
                <w:sz w:val="15"/>
                <w:szCs w:val="15"/>
              </w:rPr>
              <w:t>金额200000 元</w:t>
            </w:r>
          </w:p>
        </w:tc>
        <w:tc>
          <w:tcPr>
            <w:tcW w:w="136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优惠</w:t>
            </w:r>
            <w:r>
              <w:rPr>
                <w:rFonts w:hint="eastAsia" w:ascii="宋体" w:hAnsi="宋体"/>
                <w:kern w:val="0"/>
                <w:sz w:val="15"/>
                <w:szCs w:val="15"/>
                <w:u w:val="single"/>
              </w:rPr>
              <w:t xml:space="preserve">      </w:t>
            </w:r>
            <w:r>
              <w:rPr>
                <w:rFonts w:hint="eastAsia" w:ascii="宋体" w:hAnsi="宋体"/>
                <w:kern w:val="0"/>
                <w:sz w:val="15"/>
                <w:szCs w:val="15"/>
              </w:rPr>
              <w:t>%</w:t>
            </w:r>
          </w:p>
        </w:tc>
        <w:tc>
          <w:tcPr>
            <w:tcW w:w="6695" w:type="dxa"/>
            <w:tcBorders>
              <w:top w:val="single" w:color="auto" w:sz="4" w:space="0"/>
              <w:left w:val="nil"/>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执行2018版安徽省建设工程计价定额及配套费用定额，材料费不参与总价优惠。措施项目费以现场确认形式据实计取，二次搬运费不计取。工作内容包括照明、给排水、采暖、防雷接地等。</w:t>
            </w:r>
          </w:p>
        </w:tc>
      </w:tr>
    </w:tbl>
    <w:p>
      <w:pPr>
        <w:spacing w:line="360" w:lineRule="auto"/>
        <w:rPr>
          <w:rFonts w:ascii="宋体" w:hAnsi="宋体" w:cs="宋体"/>
          <w:sz w:val="18"/>
          <w:szCs w:val="18"/>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ind w:firstLine="1205" w:firstLineChars="50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ind w:firstLine="4096" w:firstLineChars="1700"/>
        <w:jc w:val="both"/>
        <w:rPr>
          <w:rFonts w:hint="eastAsia"/>
        </w:rPr>
      </w:pPr>
      <w:r>
        <w:rPr>
          <w:rFonts w:hint="eastAsia" w:ascii="宋体" w:hAnsi="宋体" w:cs="宋体"/>
          <w:b/>
          <w:sz w:val="24"/>
          <w:szCs w:val="24"/>
          <w:lang w:val="en-US" w:eastAsia="zh-CN"/>
        </w:rPr>
        <w:t>注</w:t>
      </w:r>
      <w:r>
        <w:rPr>
          <w:rFonts w:hint="eastAsia" w:ascii="宋体" w:hAnsi="宋体" w:cs="宋体"/>
          <w:b/>
          <w:sz w:val="24"/>
          <w:szCs w:val="24"/>
        </w:rPr>
        <w:t>：本报价单需加盖投标单位公章和</w:t>
      </w:r>
      <w:r>
        <w:rPr>
          <w:rFonts w:hint="eastAsia"/>
          <w:b/>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9C74F5E"/>
    <w:rsid w:val="0C4264BF"/>
    <w:rsid w:val="0CDA2242"/>
    <w:rsid w:val="0DFC1491"/>
    <w:rsid w:val="0F5072FB"/>
    <w:rsid w:val="12186FE6"/>
    <w:rsid w:val="1A614AD2"/>
    <w:rsid w:val="1DC136C9"/>
    <w:rsid w:val="1F240430"/>
    <w:rsid w:val="214D2E1E"/>
    <w:rsid w:val="21F73AF2"/>
    <w:rsid w:val="22574413"/>
    <w:rsid w:val="23883F50"/>
    <w:rsid w:val="24C93CD8"/>
    <w:rsid w:val="24E835CF"/>
    <w:rsid w:val="263B1C6F"/>
    <w:rsid w:val="282A37D0"/>
    <w:rsid w:val="2838415D"/>
    <w:rsid w:val="2B7C00FD"/>
    <w:rsid w:val="2EBF74DB"/>
    <w:rsid w:val="326329B3"/>
    <w:rsid w:val="33DF1EB4"/>
    <w:rsid w:val="34481C4C"/>
    <w:rsid w:val="3491604D"/>
    <w:rsid w:val="375F33F1"/>
    <w:rsid w:val="414F268B"/>
    <w:rsid w:val="42BD7D8D"/>
    <w:rsid w:val="4494055D"/>
    <w:rsid w:val="452453F0"/>
    <w:rsid w:val="466D1141"/>
    <w:rsid w:val="47614EF9"/>
    <w:rsid w:val="477A6E15"/>
    <w:rsid w:val="492349FE"/>
    <w:rsid w:val="4F9F6F3E"/>
    <w:rsid w:val="52631A2B"/>
    <w:rsid w:val="529A772A"/>
    <w:rsid w:val="567534EE"/>
    <w:rsid w:val="582A7EEA"/>
    <w:rsid w:val="59A06F0E"/>
    <w:rsid w:val="5B0F0AB4"/>
    <w:rsid w:val="5D882CE0"/>
    <w:rsid w:val="64A26E4D"/>
    <w:rsid w:val="66296C18"/>
    <w:rsid w:val="6903317D"/>
    <w:rsid w:val="6A715D94"/>
    <w:rsid w:val="6C7D1BC0"/>
    <w:rsid w:val="724E1F86"/>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11</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2022-03-17T08:25:42Z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