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DN80-600铸管特喷线设备基础及辅房工程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03</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18</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204002ZGUTPXGC</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rPr>
        <w:t>建筑工程施工总承包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19</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26</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DN80-600铸管特喷线设备基础及辅房工程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朱文涛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05</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DN80-600铸管特喷线设备基础及辅房工程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DN80-600铸管特喷线设备基础及辅房工程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壹拾叁</w:t>
      </w:r>
      <w:bookmarkStart w:id="3" w:name="_GoBack"/>
      <w:bookmarkEnd w:id="3"/>
      <w:r>
        <w:rPr>
          <w:rFonts w:hint="eastAsia" w:ascii="宋体" w:hAnsi="宋体" w:cs="宋体"/>
          <w:bCs/>
          <w:color w:val="FF0000"/>
          <w:kern w:val="36"/>
          <w:u w:val="single"/>
          <w:lang w:val="en-US" w:eastAsia="zh-CN"/>
        </w:rPr>
        <w:t>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04</w:t>
      </w:r>
      <w:r>
        <w:rPr>
          <w:rFonts w:hint="eastAsia" w:ascii="宋体" w:hAnsi="宋体" w:cs="宋体"/>
          <w:bCs/>
          <w:color w:val="FF0000"/>
          <w:kern w:val="36"/>
        </w:rPr>
        <w:t>月</w:t>
      </w:r>
      <w:r>
        <w:rPr>
          <w:rFonts w:hint="eastAsia" w:ascii="宋体" w:hAnsi="宋体" w:cs="宋体"/>
          <w:bCs/>
          <w:color w:val="FF0000"/>
          <w:kern w:val="36"/>
          <w:u w:val="single"/>
          <w:lang w:val="en-US" w:eastAsia="zh-CN"/>
        </w:rPr>
        <w:t>06</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spacing w:line="360" w:lineRule="auto"/>
        <w:rPr>
          <w:rFonts w:hint="eastAsia" w:ascii="宋体" w:hAnsi="宋体"/>
          <w:lang w:val="en-US" w:eastAsia="zh-CN"/>
        </w:rPr>
      </w:pPr>
      <w:r>
        <w:rPr>
          <w:rFonts w:hint="eastAsia" w:ascii="宋体" w:hAnsi="宋体"/>
          <w:lang w:val="en-US" w:eastAsia="zh-CN"/>
        </w:rPr>
        <w:t xml:space="preserve">2.  </w:t>
      </w:r>
      <w:r>
        <w:rPr>
          <w:rFonts w:hint="eastAsia" w:ascii="宋体" w:hAnsi="宋体"/>
          <w:lang w:eastAsia="zh-CN"/>
        </w:rPr>
        <w:t>工程概况和估算工作量：</w:t>
      </w:r>
      <w:r>
        <w:rPr>
          <w:rFonts w:hint="eastAsia" w:ascii="宋体" w:hAnsi="宋体"/>
          <w:lang w:val="en-US" w:eastAsia="zh-CN"/>
        </w:rPr>
        <w:t>包含：场地平整，种植土换填，设备基础、辅房基础制作，地坪浇筑，刷环氧地坪漆，钢筋砼破除，砖墙砌筑、墙砖铺贴，墙面抹灰、刷漆，吊顶，钢筋制安，钢架、梯子、栏杆、埋件、螺栓等钢构制安，轨道安装，门窗安装，照明及配套电气安装等全部工程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eastAsia="zh-CN"/>
        </w:rPr>
      </w:pPr>
      <w:r>
        <w:rPr>
          <w:rFonts w:hint="eastAsia" w:ascii="宋体" w:hAnsi="宋体"/>
          <w:lang w:eastAsia="zh-CN"/>
        </w:rPr>
        <w:t>开工日期： 2022年</w:t>
      </w:r>
      <w:r>
        <w:rPr>
          <w:rFonts w:hint="eastAsia" w:ascii="宋体" w:hAnsi="宋体"/>
          <w:lang w:val="en-US" w:eastAsia="zh-CN"/>
        </w:rPr>
        <w:t>04</w:t>
      </w:r>
      <w:r>
        <w:rPr>
          <w:rFonts w:hint="eastAsia" w:ascii="宋体" w:hAnsi="宋体"/>
          <w:lang w:eastAsia="zh-CN"/>
        </w:rPr>
        <w:t>月</w:t>
      </w:r>
      <w:r>
        <w:rPr>
          <w:rFonts w:hint="eastAsia" w:ascii="宋体" w:hAnsi="宋体"/>
          <w:lang w:val="en-US" w:eastAsia="zh-CN"/>
        </w:rPr>
        <w:t>30</w:t>
      </w:r>
      <w:r>
        <w:rPr>
          <w:rFonts w:hint="eastAsia" w:ascii="宋体" w:hAnsi="宋体"/>
          <w:lang w:eastAsia="zh-CN"/>
        </w:rPr>
        <w:t xml:space="preserve">日 （暂定）                                          </w:t>
      </w:r>
    </w:p>
    <w:p>
      <w:pPr>
        <w:spacing w:line="360" w:lineRule="auto"/>
        <w:rPr>
          <w:rFonts w:hint="eastAsia" w:ascii="宋体" w:hAnsi="宋体"/>
          <w:lang w:eastAsia="zh-CN"/>
        </w:rPr>
      </w:pPr>
      <w:r>
        <w:rPr>
          <w:rFonts w:hint="eastAsia" w:ascii="宋体" w:hAnsi="宋体"/>
          <w:lang w:eastAsia="zh-CN"/>
        </w:rPr>
        <w:t>竣工日期： 2022年</w:t>
      </w:r>
      <w:r>
        <w:rPr>
          <w:rFonts w:hint="eastAsia" w:ascii="宋体" w:hAnsi="宋体"/>
          <w:lang w:val="en-US" w:eastAsia="zh-CN"/>
        </w:rPr>
        <w:t>09</w:t>
      </w:r>
      <w:r>
        <w:rPr>
          <w:rFonts w:hint="eastAsia" w:ascii="宋体" w:hAnsi="宋体"/>
          <w:lang w:eastAsia="zh-CN"/>
        </w:rPr>
        <w:t>月</w:t>
      </w:r>
      <w:r>
        <w:rPr>
          <w:rFonts w:hint="eastAsia" w:ascii="宋体" w:hAnsi="宋体"/>
          <w:lang w:val="en-US" w:eastAsia="zh-CN"/>
        </w:rPr>
        <w:t>28</w:t>
      </w:r>
      <w:r>
        <w:rPr>
          <w:rFonts w:hint="eastAsia" w:ascii="宋体" w:hAnsi="宋体"/>
          <w:lang w:eastAsia="zh-CN"/>
        </w:rPr>
        <w:t xml:space="preserve">日                                              </w:t>
      </w:r>
    </w:p>
    <w:p>
      <w:pPr>
        <w:spacing w:line="360" w:lineRule="auto"/>
        <w:rPr>
          <w:rFonts w:ascii="宋体" w:hAnsi="宋体"/>
        </w:rPr>
      </w:pPr>
      <w:r>
        <w:rPr>
          <w:rFonts w:hint="eastAsia" w:ascii="宋体" w:hAnsi="宋体"/>
          <w:lang w:eastAsia="zh-CN"/>
        </w:rPr>
        <w:t xml:space="preserve">合同工期总日历天数   </w:t>
      </w:r>
      <w:r>
        <w:rPr>
          <w:rFonts w:hint="eastAsia" w:ascii="宋体" w:hAnsi="宋体"/>
          <w:lang w:val="en-US" w:eastAsia="zh-CN"/>
        </w:rPr>
        <w:t>150</w:t>
      </w:r>
      <w:r>
        <w:rPr>
          <w:rFonts w:hint="eastAsia" w:ascii="宋体" w:hAnsi="宋体"/>
          <w:lang w:eastAsia="zh-CN"/>
        </w:rPr>
        <w:t xml:space="preserve">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综合单价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项目措施费以签证形式据实计取，二次搬运费不计取。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3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2</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w:t>
      </w:r>
      <w:r>
        <w:rPr>
          <w:rFonts w:hint="eastAsia"/>
          <w:bCs/>
          <w:kern w:val="36"/>
          <w:szCs w:val="21"/>
        </w:rPr>
        <w:t>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中铸投标工具</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r>
        <w:rPr>
          <w:rFonts w:hint="eastAsia" w:ascii="宋体" w:hAnsi="宋体" w:cs="宋体"/>
          <w:lang w:val="en-US" w:eastAsia="zh-CN"/>
        </w:rPr>
        <w:t>。</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壹万</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10</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贰万</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20</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lang w:val="en-US" w:eastAsia="zh-CN"/>
        </w:rPr>
        <w:t>DN80-600铸管特喷线设备基础及辅房工程</w:t>
      </w:r>
      <w:r>
        <w:rPr>
          <w:rFonts w:hint="eastAsia" w:ascii="宋体" w:hAnsi="宋体"/>
          <w:b/>
          <w:bCs/>
          <w:sz w:val="36"/>
          <w:szCs w:val="36"/>
        </w:rPr>
        <w:t>报价单</w:t>
      </w:r>
    </w:p>
    <w:tbl>
      <w:tblPr>
        <w:tblStyle w:val="13"/>
        <w:tblpPr w:leftFromText="180" w:rightFromText="180" w:vertAnchor="text" w:horzAnchor="page" w:tblpX="1089" w:tblpY="345"/>
        <w:tblOverlap w:val="never"/>
        <w:tblW w:w="5182" w:type="pct"/>
        <w:tblInd w:w="0" w:type="dxa"/>
        <w:tblLayout w:type="fixed"/>
        <w:tblCellMar>
          <w:top w:w="0" w:type="dxa"/>
          <w:left w:w="108" w:type="dxa"/>
          <w:bottom w:w="0" w:type="dxa"/>
          <w:right w:w="108" w:type="dxa"/>
        </w:tblCellMar>
      </w:tblPr>
      <w:tblGrid>
        <w:gridCol w:w="768"/>
        <w:gridCol w:w="1893"/>
        <w:gridCol w:w="756"/>
        <w:gridCol w:w="1061"/>
        <w:gridCol w:w="1431"/>
        <w:gridCol w:w="1737"/>
        <w:gridCol w:w="8103"/>
      </w:tblGrid>
      <w:tr>
        <w:tblPrEx>
          <w:tblCellMar>
            <w:top w:w="0" w:type="dxa"/>
            <w:left w:w="108" w:type="dxa"/>
            <w:bottom w:w="0" w:type="dxa"/>
            <w:right w:w="108" w:type="dxa"/>
          </w:tblCellMar>
        </w:tblPrEx>
        <w:trPr>
          <w:trHeight w:val="416"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4"/>
                <w:szCs w:val="24"/>
              </w:rPr>
            </w:pPr>
            <w:r>
              <w:rPr>
                <w:rFonts w:hint="eastAsia" w:ascii="宋体" w:hAnsi="宋体" w:eastAsia="宋体" w:cs="宋体"/>
                <w:b/>
                <w:bCs/>
                <w:i w:val="0"/>
                <w:iCs w:val="0"/>
                <w:color w:val="auto"/>
                <w:kern w:val="0"/>
                <w:sz w:val="24"/>
                <w:szCs w:val="24"/>
                <w:u w:val="none"/>
                <w:lang w:val="en-US" w:eastAsia="zh-CN" w:bidi="ar"/>
              </w:rPr>
              <w:t>序号</w:t>
            </w:r>
          </w:p>
        </w:tc>
        <w:tc>
          <w:tcPr>
            <w:tcW w:w="17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4"/>
                <w:szCs w:val="24"/>
              </w:rPr>
            </w:pPr>
            <w:r>
              <w:rPr>
                <w:rFonts w:hint="eastAsia" w:ascii="宋体" w:hAnsi="宋体" w:eastAsia="宋体" w:cs="宋体"/>
                <w:b/>
                <w:bCs/>
                <w:i w:val="0"/>
                <w:iCs w:val="0"/>
                <w:color w:val="auto"/>
                <w:kern w:val="0"/>
                <w:sz w:val="24"/>
                <w:szCs w:val="24"/>
                <w:u w:val="none"/>
                <w:lang w:val="en-US" w:eastAsia="zh-CN" w:bidi="ar"/>
              </w:rPr>
              <w:t>分项名称</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4"/>
                <w:szCs w:val="24"/>
              </w:rPr>
            </w:pPr>
            <w:r>
              <w:rPr>
                <w:rFonts w:hint="eastAsia" w:ascii="宋体" w:hAnsi="宋体" w:eastAsia="宋体" w:cs="宋体"/>
                <w:b/>
                <w:bCs/>
                <w:i w:val="0"/>
                <w:iCs w:val="0"/>
                <w:color w:val="auto"/>
                <w:kern w:val="0"/>
                <w:sz w:val="24"/>
                <w:szCs w:val="24"/>
                <w:u w:val="none"/>
                <w:lang w:val="en-US" w:eastAsia="zh-CN" w:bidi="ar"/>
              </w:rPr>
              <w:t>单位</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4"/>
                <w:szCs w:val="24"/>
              </w:rPr>
            </w:pPr>
            <w:r>
              <w:rPr>
                <w:rFonts w:hint="eastAsia" w:ascii="宋体" w:hAnsi="宋体" w:eastAsia="宋体" w:cs="宋体"/>
                <w:b/>
                <w:bCs/>
                <w:i w:val="0"/>
                <w:iCs w:val="0"/>
                <w:color w:val="auto"/>
                <w:kern w:val="0"/>
                <w:sz w:val="24"/>
                <w:szCs w:val="24"/>
                <w:u w:val="none"/>
                <w:lang w:val="en-US" w:eastAsia="zh-CN" w:bidi="ar"/>
              </w:rPr>
              <w:t>暂估工程量</w:t>
            </w:r>
          </w:p>
        </w:tc>
        <w:tc>
          <w:tcPr>
            <w:tcW w:w="13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4"/>
                <w:szCs w:val="24"/>
              </w:rPr>
            </w:pPr>
            <w:r>
              <w:rPr>
                <w:rFonts w:hint="eastAsia" w:ascii="宋体" w:hAnsi="宋体" w:eastAsia="宋体" w:cs="宋体"/>
                <w:b/>
                <w:bCs/>
                <w:i w:val="0"/>
                <w:iCs w:val="0"/>
                <w:color w:val="auto"/>
                <w:kern w:val="0"/>
                <w:sz w:val="24"/>
                <w:szCs w:val="24"/>
                <w:u w:val="none"/>
                <w:lang w:val="en-US" w:eastAsia="zh-CN" w:bidi="ar"/>
              </w:rPr>
              <w:t>拦标价</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auto"/>
                <w:kern w:val="0"/>
                <w:sz w:val="24"/>
                <w:szCs w:val="24"/>
              </w:rPr>
            </w:pPr>
            <w:r>
              <w:rPr>
                <w:rFonts w:hint="eastAsia" w:ascii="宋体" w:hAnsi="宋体" w:eastAsia="宋体" w:cs="宋体"/>
                <w:b/>
                <w:bCs/>
                <w:i w:val="0"/>
                <w:iCs w:val="0"/>
                <w:color w:val="auto"/>
                <w:kern w:val="0"/>
                <w:sz w:val="24"/>
                <w:szCs w:val="24"/>
                <w:u w:val="none"/>
                <w:lang w:val="en-US" w:eastAsia="zh-CN" w:bidi="ar"/>
              </w:rPr>
              <w:t>报价</w:t>
            </w:r>
          </w:p>
        </w:tc>
        <w:tc>
          <w:tcPr>
            <w:tcW w:w="75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auto"/>
                <w:kern w:val="0"/>
                <w:sz w:val="24"/>
                <w:szCs w:val="24"/>
              </w:rPr>
            </w:pPr>
            <w:r>
              <w:rPr>
                <w:rFonts w:hint="eastAsia" w:ascii="宋体" w:hAnsi="宋体" w:eastAsia="宋体" w:cs="宋体"/>
                <w:b/>
                <w:bCs/>
                <w:i w:val="0"/>
                <w:iCs w:val="0"/>
                <w:color w:val="auto"/>
                <w:kern w:val="0"/>
                <w:sz w:val="22"/>
                <w:szCs w:val="22"/>
                <w:u w:val="none"/>
                <w:lang w:val="en-US" w:eastAsia="zh-CN" w:bidi="ar"/>
              </w:rPr>
              <w:t>工作内容</w:t>
            </w:r>
          </w:p>
        </w:tc>
      </w:tr>
      <w:tr>
        <w:tblPrEx>
          <w:tblCellMar>
            <w:top w:w="0" w:type="dxa"/>
            <w:left w:w="108" w:type="dxa"/>
            <w:bottom w:w="0" w:type="dxa"/>
            <w:right w:w="108" w:type="dxa"/>
          </w:tblCellMar>
        </w:tblPrEx>
        <w:trPr>
          <w:trHeight w:val="406" w:hRule="atLeast"/>
        </w:trPr>
        <w:tc>
          <w:tcPr>
            <w:tcW w:w="1469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auto"/>
                <w:kern w:val="0"/>
                <w:sz w:val="18"/>
                <w:szCs w:val="18"/>
              </w:rPr>
            </w:pPr>
            <w:r>
              <w:rPr>
                <w:rFonts w:hint="eastAsia" w:ascii="宋体" w:hAnsi="宋体" w:eastAsia="宋体" w:cs="宋体"/>
                <w:i w:val="0"/>
                <w:iCs w:val="0"/>
                <w:color w:val="auto"/>
                <w:kern w:val="0"/>
                <w:sz w:val="18"/>
                <w:szCs w:val="18"/>
                <w:u w:val="none"/>
                <w:lang w:val="en-US" w:eastAsia="zh-CN" w:bidi="ar"/>
              </w:rPr>
              <w:t>一、单价包干部分</w:t>
            </w:r>
          </w:p>
        </w:tc>
      </w:tr>
      <w:tr>
        <w:tblPrEx>
          <w:tblCellMar>
            <w:top w:w="0" w:type="dxa"/>
            <w:left w:w="108" w:type="dxa"/>
            <w:bottom w:w="0" w:type="dxa"/>
            <w:right w:w="108" w:type="dxa"/>
          </w:tblCellMar>
        </w:tblPrEx>
        <w:trPr>
          <w:trHeight w:val="269"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kern w:val="0"/>
                <w:sz w:val="18"/>
                <w:szCs w:val="18"/>
              </w:rPr>
            </w:pPr>
            <w:r>
              <w:rPr>
                <w:rFonts w:hint="eastAsia" w:ascii="宋体" w:hAnsi="宋体" w:eastAsia="宋体" w:cs="宋体"/>
                <w:i w:val="0"/>
                <w:iCs w:val="0"/>
                <w:color w:val="auto"/>
                <w:kern w:val="0"/>
                <w:sz w:val="18"/>
                <w:szCs w:val="18"/>
                <w:u w:val="none"/>
                <w:lang w:val="en-US" w:eastAsia="zh-CN" w:bidi="ar"/>
              </w:rPr>
              <w:t>1</w:t>
            </w:r>
          </w:p>
        </w:tc>
        <w:tc>
          <w:tcPr>
            <w:tcW w:w="17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auto"/>
                <w:kern w:val="0"/>
                <w:sz w:val="18"/>
                <w:szCs w:val="18"/>
              </w:rPr>
            </w:pPr>
            <w:r>
              <w:rPr>
                <w:rFonts w:hint="eastAsia" w:ascii="宋体" w:hAnsi="宋体" w:eastAsia="宋体" w:cs="宋体"/>
                <w:i w:val="0"/>
                <w:iCs w:val="0"/>
                <w:color w:val="auto"/>
                <w:kern w:val="0"/>
                <w:sz w:val="18"/>
                <w:szCs w:val="18"/>
                <w:u w:val="none"/>
                <w:lang w:val="en-US" w:eastAsia="zh-CN" w:bidi="ar"/>
              </w:rPr>
              <w:t>钢筋砼破除</w:t>
            </w:r>
          </w:p>
        </w:tc>
        <w:tc>
          <w:tcPr>
            <w:tcW w:w="7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auto"/>
                <w:kern w:val="0"/>
                <w:sz w:val="18"/>
                <w:szCs w:val="18"/>
              </w:rPr>
            </w:pPr>
            <w:r>
              <w:rPr>
                <w:rFonts w:hint="eastAsia" w:ascii="宋体" w:hAnsi="宋体" w:eastAsia="宋体" w:cs="宋体"/>
                <w:i w:val="0"/>
                <w:iCs w:val="0"/>
                <w:color w:val="auto"/>
                <w:kern w:val="0"/>
                <w:sz w:val="18"/>
                <w:szCs w:val="18"/>
                <w:u w:val="none"/>
                <w:lang w:val="en-US" w:eastAsia="zh-CN" w:bidi="ar"/>
              </w:rPr>
              <w:t>m3</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500</w:t>
            </w:r>
          </w:p>
        </w:tc>
        <w:tc>
          <w:tcPr>
            <w:tcW w:w="13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180元/m3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元/m3</w:t>
            </w:r>
          </w:p>
        </w:tc>
        <w:tc>
          <w:tcPr>
            <w:tcW w:w="75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包括切割、破除、装车、外排等涉及的全部工序及人工费、机械费、材料费、措施费、不可竞争费、税金、水电费等全部费用。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223" w:hRule="atLeast"/>
        </w:trPr>
        <w:tc>
          <w:tcPr>
            <w:tcW w:w="716"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17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开挖土方</w:t>
            </w:r>
          </w:p>
        </w:tc>
        <w:tc>
          <w:tcPr>
            <w:tcW w:w="7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m3</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11000</w:t>
            </w:r>
          </w:p>
        </w:tc>
        <w:tc>
          <w:tcPr>
            <w:tcW w:w="13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37元/m3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auto"/>
                <w:kern w:val="0"/>
                <w:sz w:val="18"/>
                <w:szCs w:val="18"/>
              </w:rPr>
            </w:pPr>
            <w:r>
              <w:rPr>
                <w:rFonts w:hint="eastAsia" w:ascii="宋体" w:hAnsi="宋体" w:eastAsia="宋体" w:cs="宋体"/>
                <w:i w:val="0"/>
                <w:iCs w:val="0"/>
                <w:color w:val="auto"/>
                <w:kern w:val="0"/>
                <w:sz w:val="18"/>
                <w:szCs w:val="18"/>
                <w:u w:val="none"/>
                <w:lang w:val="en-US" w:eastAsia="zh-CN" w:bidi="ar"/>
              </w:rPr>
              <w:t>元/m3</w:t>
            </w:r>
          </w:p>
        </w:tc>
        <w:tc>
          <w:tcPr>
            <w:tcW w:w="75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color w:val="auto"/>
                <w:kern w:val="0"/>
                <w:sz w:val="18"/>
                <w:szCs w:val="18"/>
              </w:rPr>
            </w:pPr>
            <w:r>
              <w:rPr>
                <w:rFonts w:hint="eastAsia" w:ascii="宋体" w:hAnsi="宋体" w:eastAsia="宋体" w:cs="宋体"/>
                <w:i w:val="0"/>
                <w:iCs w:val="0"/>
                <w:color w:val="auto"/>
                <w:kern w:val="0"/>
                <w:sz w:val="18"/>
                <w:szCs w:val="18"/>
                <w:u w:val="none"/>
                <w:lang w:val="en-US" w:eastAsia="zh-CN" w:bidi="ar"/>
              </w:rPr>
              <w:t>包括开挖、装车、外排（外运5km）人工清底等涉及的全部工序及人工费、机械费、材料费、措施费、不可竞争费、税金、水电费等全部费用。综合了地面、散水的找平、夯实，坡道的夯实。</w:t>
            </w:r>
          </w:p>
        </w:tc>
      </w:tr>
      <w:tr>
        <w:tblPrEx>
          <w:tblCellMar>
            <w:top w:w="0" w:type="dxa"/>
            <w:left w:w="108" w:type="dxa"/>
            <w:bottom w:w="0" w:type="dxa"/>
            <w:right w:w="108" w:type="dxa"/>
          </w:tblCellMar>
        </w:tblPrEx>
        <w:trPr>
          <w:trHeight w:val="422"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17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土方回填</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m3</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900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34元/m3</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472"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17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级配砂石/碎石垫层</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m3</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2800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380元/m3</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包括装车、运输、拌和、铺设、平整、夯实等涉及的全部工序及人工费、机械费、材料费、措施费、不可竞争费、税金、水电费等全部费用。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17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粗砂隔离层</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m3</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120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400元/m3</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包括装车、运输、铺设、平整、夯实等涉及的全部工序及人工费、机械费、材料费、措施费、不可竞争费、税金、水电费等全部费用。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17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砼浇筑（不含地坪道路）</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m3</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3600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1200元/m3</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包括卸车、运输、倒运、支模、对拉丝、浇筑、脚手架、养生等涉及的全部工序及人工费、机械费、材料费、措施费、不可竞争费、税金、水电费等全部费用。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17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地坪道路砼浇筑（含散水）</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1500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900元/m3</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包括卸车、运输、倒运、支模、对拉丝、浇筑、脚手架、养生等涉及的全部工序及人工费、机械费、材料费、措施费、不可竞争费、税金、水电费等全部费用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17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预埋螺栓、埋件</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57</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13000元/t</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元/t</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包含螺栓、埋件、波纹管，包括卸车、运输、倒运、制作、安装等涉及的全部工序及人工费、机械费、材料费、措施费、不可竞争费、税金、水电费等全部费用。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121"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17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钢筋制安</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530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1250元/t</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元/t</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包括卸车、运输、倒运、制作、安装等涉及的全部工序及人工费、机械费、材料费(不含钢筋材料费)、措施费、不可竞争费、税金、水电费等全部费用。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17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砖（砌块）砌筑</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660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750元/m3</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包括搅拌调、运、铺砂浆，运砖，砌砖，脚手架等涉及的全部工序及人工费、机械费、材料费、措施费、不可竞争费、税金、水电费等全部费用.综合了垂直运输费。</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w:t>
            </w:r>
          </w:p>
        </w:tc>
        <w:tc>
          <w:tcPr>
            <w:tcW w:w="17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地面环氧地坪</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2200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80元/m2</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基层清理、修补、湿润，搅拌、运、铺砂浆、找平、洒水湿润、罩面压光、刷面层涂料等涉及的全部工序及人工费、机械费、材料费、措施费、不可竞争费、税金、水电费等全部费用。综合了0.15厚环氧打底料，5厚环氧砂浆、0.2厚环氧面层涂料。</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17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地砖铺设（踢脚线）（不含地砖材料）</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750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65元/m2</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包括卸车、运输、倒运、表面剔除、铺设地板砖等涉及的全部工序及人工费、机械费、材料费（不包含地板砖费用）、措施费、不可竞争费、税金、水电费等全部费用。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17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蘑菇石外墙面</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800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120元/m2</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包括卸车、运输、倒运、镶贴、勾缝等涉及的全部工序及人工费、机械费、材料费（不包含地板砖费用）、措施费、不可竞争费、税金、水电费等全部费用。</w:t>
            </w:r>
          </w:p>
        </w:tc>
      </w:tr>
      <w:tr>
        <w:tblPrEx>
          <w:tblCellMar>
            <w:top w:w="0" w:type="dxa"/>
            <w:left w:w="108" w:type="dxa"/>
            <w:bottom w:w="0" w:type="dxa"/>
            <w:right w:w="108" w:type="dxa"/>
          </w:tblCellMar>
        </w:tblPrEx>
        <w:trPr>
          <w:trHeight w:val="523"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17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墙面抹灰</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m2</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4000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40元/m2</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包括清理、修补、湿润基础表面、分层抹灰找平、刷浆、洒水湿润、罩面压光、脚手架等涉及的全部工序及人工费、机械费、材料费、措施费、不可竞争费、税金、水电费等全部费用。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17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刷（涂料）乳胶漆</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9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4000</w:t>
            </w:r>
          </w:p>
        </w:tc>
        <w:tc>
          <w:tcPr>
            <w:tcW w:w="13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50元/m2</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包括基层清理、调料、遮盖不应喷处，批腻子、刷（涂料）乳胶漆、压平等涉及的全部工序及人工费、机械费、材料费、措施费、不可竞争费、税金、水电费等全部费用。</w:t>
            </w:r>
          </w:p>
        </w:tc>
      </w:tr>
      <w:tr>
        <w:tblPrEx>
          <w:tblCellMar>
            <w:top w:w="0" w:type="dxa"/>
            <w:left w:w="108" w:type="dxa"/>
            <w:bottom w:w="0" w:type="dxa"/>
            <w:right w:w="108" w:type="dxa"/>
          </w:tblCellMar>
        </w:tblPrEx>
        <w:trPr>
          <w:trHeight w:val="200"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w:t>
            </w:r>
          </w:p>
        </w:tc>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屋面（屋面现浇顶以上）</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325</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120元/m2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包括处理基面、卸车、倒运、运输、防水施工等涉及的全部工序及人工费、机械费、材料费、措施费、不可竞争费、税金、水电费等全部费用。</w:t>
            </w:r>
          </w:p>
        </w:tc>
      </w:tr>
      <w:tr>
        <w:tblPrEx>
          <w:tblCellMar>
            <w:top w:w="0" w:type="dxa"/>
            <w:left w:w="108" w:type="dxa"/>
            <w:bottom w:w="0" w:type="dxa"/>
            <w:right w:w="108" w:type="dxa"/>
          </w:tblCellMar>
        </w:tblPrEx>
        <w:trPr>
          <w:trHeight w:val="132"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w:t>
            </w:r>
          </w:p>
        </w:tc>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钢结构制安</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70</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11500元/t</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元/t</w:t>
            </w:r>
          </w:p>
        </w:tc>
        <w:tc>
          <w:tcPr>
            <w:tcW w:w="7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包含钢柱、平台、钢梯、栏杆、盖板、支架、单梁吊等所有钢结构，包括卸车、运输、倒运、制作、安装等全部工序及涉及的人工费、机械费、材料费、措施费、不可竞争费、税金、水电费等全部费用。</w:t>
            </w:r>
          </w:p>
        </w:tc>
      </w:tr>
      <w:tr>
        <w:tblPrEx>
          <w:tblCellMar>
            <w:top w:w="0" w:type="dxa"/>
            <w:left w:w="108" w:type="dxa"/>
            <w:bottom w:w="0" w:type="dxa"/>
            <w:right w:w="108" w:type="dxa"/>
          </w:tblCellMar>
        </w:tblPrEx>
        <w:trPr>
          <w:trHeight w:val="255"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w:t>
            </w:r>
          </w:p>
        </w:tc>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304不锈钢栏杆</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80</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650元/m</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元/m</w:t>
            </w:r>
          </w:p>
        </w:tc>
        <w:tc>
          <w:tcPr>
            <w:tcW w:w="7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包含钢柱、平台、钢梯、栏杆、盖板、支架、单梁吊等所有钢结构，包括卸车、运输、倒运、制作、安装等全部工序及涉及的人工费、机械费、材料费、措施费、不可竞争费、税金、水电费等全部费用。</w:t>
            </w:r>
          </w:p>
        </w:tc>
      </w:tr>
      <w:tr>
        <w:tblPrEx>
          <w:tblCellMar>
            <w:top w:w="0" w:type="dxa"/>
            <w:left w:w="108" w:type="dxa"/>
            <w:bottom w:w="0" w:type="dxa"/>
            <w:right w:w="108" w:type="dxa"/>
          </w:tblCellMar>
        </w:tblPrEx>
        <w:trPr>
          <w:trHeight w:val="14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w:t>
            </w:r>
          </w:p>
        </w:tc>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二次灌浆</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m3</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50</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9500元/m3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包括卸车、运输、倒运、支模、对拉丝、浇筑、养生等涉及的全部工序及人工费、机械费、材料费、措施费、不可竞争费、税金、水电费等全部费用。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w:t>
            </w:r>
          </w:p>
        </w:tc>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22kg/m轨道</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s="Times New Roman"/>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100</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500元/m</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元/m</w:t>
            </w:r>
          </w:p>
        </w:tc>
        <w:tc>
          <w:tcPr>
            <w:tcW w:w="7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包括卸车、运输、倒运、安装等全部工序及涉及的人工费、机械费、材料（含压轨器等辅材）费、措施费、不可竞争费、税金、水电费等全部费用。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w:t>
            </w:r>
          </w:p>
        </w:tc>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30kg/m轨道</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550元/m</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元/m</w:t>
            </w:r>
          </w:p>
        </w:tc>
        <w:tc>
          <w:tcPr>
            <w:tcW w:w="7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包括卸车、运输、倒运、安装等全部工序及涉及的人工费、机械费、材料（含压轨器等辅材）费、措施费、不可竞争费、税金、水电费等全部费用。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w:t>
            </w:r>
          </w:p>
        </w:tc>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38kg/m轨道</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620元/m</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元/m</w:t>
            </w:r>
          </w:p>
        </w:tc>
        <w:tc>
          <w:tcPr>
            <w:tcW w:w="7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包括卸车、运输、倒运、安装等全部工序及涉及的人工费、机械费、材料（含压轨器等辅材）费、措施费、不可竞争费、税金、水电费等全部费用。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w:t>
            </w:r>
          </w:p>
        </w:tc>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吊顶</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250</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185元/m2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w:t>
            </w:r>
          </w:p>
        </w:tc>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钢格板安装</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m2</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50</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35元/m2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包括卸车、运输、倒运、安装等涉及的全部工序及人工费、机械费、材料费（不含钢格板材料费）、措施费、不可竞争费、税金、水电费等全部费用。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w:t>
            </w:r>
          </w:p>
        </w:tc>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种植土换填</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m3</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1800</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62元/m3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包括场地清理、开挖、装车、运输、回填、平整等涉及的全部工序及人工费、机械费、材料费、措施费、不可竞争费、税金、水电费等全部费用。</w:t>
            </w:r>
          </w:p>
        </w:tc>
      </w:tr>
      <w:tr>
        <w:tblPrEx>
          <w:tblCellMar>
            <w:top w:w="0" w:type="dxa"/>
            <w:left w:w="108" w:type="dxa"/>
            <w:bottom w:w="0" w:type="dxa"/>
            <w:right w:w="108" w:type="dxa"/>
          </w:tblCellMar>
        </w:tblPrEx>
        <w:trPr>
          <w:trHeight w:val="416" w:hRule="atLeast"/>
        </w:trPr>
        <w:tc>
          <w:tcPr>
            <w:tcW w:w="1469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二、除单价包干外工作量</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优惠率(不包含材料费)</w:t>
            </w:r>
          </w:p>
        </w:tc>
        <w:tc>
          <w:tcPr>
            <w:tcW w:w="16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暂估金额</w:t>
            </w:r>
            <w:r>
              <w:rPr>
                <w:rFonts w:hint="eastAsia" w:ascii="宋体" w:hAnsi="宋体" w:eastAsia="宋体" w:cs="宋体"/>
                <w:i w:val="0"/>
                <w:iCs w:val="0"/>
                <w:color w:val="auto"/>
                <w:kern w:val="0"/>
                <w:sz w:val="18"/>
                <w:szCs w:val="18"/>
                <w:u w:val="single"/>
                <w:lang w:val="en-US" w:eastAsia="zh-CN" w:bidi="ar"/>
              </w:rPr>
              <w:t xml:space="preserve">1100000 </w:t>
            </w:r>
            <w:r>
              <w:rPr>
                <w:rFonts w:hint="eastAsia" w:ascii="宋体" w:hAnsi="宋体" w:eastAsia="宋体" w:cs="宋体"/>
                <w:i w:val="0"/>
                <w:iCs w:val="0"/>
                <w:color w:val="auto"/>
                <w:kern w:val="0"/>
                <w:sz w:val="18"/>
                <w:szCs w:val="18"/>
                <w:u w:val="none"/>
                <w:lang w:val="en-US" w:eastAsia="zh-CN" w:bidi="ar"/>
              </w:rPr>
              <w:t>元</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优惠</w:t>
            </w:r>
            <w:r>
              <w:rPr>
                <w:rFonts w:hint="eastAsia" w:ascii="宋体" w:hAnsi="宋体" w:eastAsia="宋体" w:cs="宋体"/>
                <w:i w:val="0"/>
                <w:iCs w:val="0"/>
                <w:color w:val="auto"/>
                <w:kern w:val="0"/>
                <w:sz w:val="18"/>
                <w:szCs w:val="18"/>
                <w:u w:val="singl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w:t>
            </w:r>
          </w:p>
        </w:tc>
        <w:tc>
          <w:tcPr>
            <w:tcW w:w="75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执行2018版安徽省建设工程计价定额及配套费用定额，材料费不参与总价优惠。措施项目费以现场确认形式据实计取，二次搬运费不计取。含门窗，水电等。</w:t>
            </w:r>
          </w:p>
        </w:tc>
      </w:tr>
    </w:tbl>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1D6583"/>
    <w:rsid w:val="049C5847"/>
    <w:rsid w:val="09C74F5E"/>
    <w:rsid w:val="0C4264BF"/>
    <w:rsid w:val="0CDA2242"/>
    <w:rsid w:val="0DFC1491"/>
    <w:rsid w:val="0F5072FB"/>
    <w:rsid w:val="12186FE6"/>
    <w:rsid w:val="1A614AD2"/>
    <w:rsid w:val="1DC136C9"/>
    <w:rsid w:val="1F240430"/>
    <w:rsid w:val="214D2E1E"/>
    <w:rsid w:val="21F73AF2"/>
    <w:rsid w:val="22574413"/>
    <w:rsid w:val="23883F50"/>
    <w:rsid w:val="24C93CD8"/>
    <w:rsid w:val="24E835CF"/>
    <w:rsid w:val="263B1C6F"/>
    <w:rsid w:val="282A37D0"/>
    <w:rsid w:val="2838415D"/>
    <w:rsid w:val="2B7C00FD"/>
    <w:rsid w:val="2EBF74DB"/>
    <w:rsid w:val="326329B3"/>
    <w:rsid w:val="33DF1EB4"/>
    <w:rsid w:val="34481C4C"/>
    <w:rsid w:val="3491604D"/>
    <w:rsid w:val="375F33F1"/>
    <w:rsid w:val="40D43A56"/>
    <w:rsid w:val="414F268B"/>
    <w:rsid w:val="42BD7D8D"/>
    <w:rsid w:val="4494055D"/>
    <w:rsid w:val="452453F0"/>
    <w:rsid w:val="466D1141"/>
    <w:rsid w:val="47614EF9"/>
    <w:rsid w:val="477A6E15"/>
    <w:rsid w:val="492349FE"/>
    <w:rsid w:val="4C431ECB"/>
    <w:rsid w:val="4F9F6F3E"/>
    <w:rsid w:val="52631A2B"/>
    <w:rsid w:val="529A772A"/>
    <w:rsid w:val="567534EE"/>
    <w:rsid w:val="567842B0"/>
    <w:rsid w:val="582A7EEA"/>
    <w:rsid w:val="583C7C29"/>
    <w:rsid w:val="59A06F0E"/>
    <w:rsid w:val="5B0F0AB4"/>
    <w:rsid w:val="5D882CE0"/>
    <w:rsid w:val="64A26E4D"/>
    <w:rsid w:val="66296C18"/>
    <w:rsid w:val="6903317D"/>
    <w:rsid w:val="6A715D94"/>
    <w:rsid w:val="6C7D1BC0"/>
    <w:rsid w:val="724E1F86"/>
    <w:rsid w:val="740F0761"/>
    <w:rsid w:val="77676C2F"/>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9</TotalTime>
  <ScaleCrop>false</ScaleCrop>
  <LinksUpToDate>false</LinksUpToDate>
  <CharactersWithSpaces>11263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2022-03-18T05:21:18Z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D1A0F34327A0413C96BBF0182386BB71</vt:lpwstr>
  </property>
</Properties>
</file>