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3#高炉炉前厂棚钢结构安全隐患整改工程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01</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204008GLYHZGGC</w:t>
      </w:r>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lang w:val="en-US" w:eastAsia="zh-CN"/>
        </w:rPr>
        <w:t>贰</w:t>
      </w:r>
      <w:r>
        <w:rPr>
          <w:rFonts w:hint="eastAsia"/>
          <w:color w:val="FF0000"/>
          <w:sz w:val="24"/>
          <w:szCs w:val="24"/>
          <w:u w:val="none"/>
        </w:rPr>
        <w:t>级</w:t>
      </w:r>
      <w:r>
        <w:rPr>
          <w:rFonts w:hint="eastAsia" w:ascii="宋体" w:hAnsi="宋体"/>
          <w:bCs/>
          <w:color w:val="FF0000"/>
          <w:sz w:val="24"/>
          <w:szCs w:val="24"/>
          <w:u w:val="none"/>
        </w:rPr>
        <w:t>及以上资质</w:t>
      </w:r>
      <w:r>
        <w:rPr>
          <w:rFonts w:hint="eastAsia" w:ascii="宋体" w:hAnsi="宋体"/>
          <w:bCs/>
          <w:sz w:val="24"/>
          <w:szCs w:val="24"/>
          <w:u w:val="none"/>
          <w:lang w:val="en-US" w:eastAsia="zh-CN"/>
        </w:rPr>
        <w:t>或者</w:t>
      </w:r>
      <w:r>
        <w:rPr>
          <w:rFonts w:hint="eastAsia" w:ascii="宋体" w:hAnsi="宋体"/>
          <w:bCs/>
          <w:color w:val="FF0000"/>
          <w:sz w:val="24"/>
          <w:szCs w:val="24"/>
          <w:u w:val="none"/>
          <w:lang w:val="en-US" w:eastAsia="zh-CN"/>
        </w:rPr>
        <w:t>钢结构工程专业承包叁级</w:t>
      </w:r>
      <w:r>
        <w:rPr>
          <w:rFonts w:hint="eastAsia" w:ascii="宋体" w:hAnsi="宋体"/>
          <w:bCs/>
          <w:color w:val="FF0000"/>
          <w:sz w:val="24"/>
          <w:szCs w:val="24"/>
          <w:u w:val="none"/>
        </w:rPr>
        <w:t>及以上资质证书</w:t>
      </w:r>
      <w:r>
        <w:rPr>
          <w:rFonts w:hint="eastAsia" w:ascii="宋体" w:hAnsi="宋体"/>
          <w:bCs/>
          <w:sz w:val="24"/>
          <w:szCs w:val="24"/>
          <w:u w:val="none"/>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04</w:t>
      </w:r>
      <w:r>
        <w:rPr>
          <w:rFonts w:hint="eastAsia" w:ascii="宋体" w:hAnsi="宋体"/>
          <w:bCs/>
          <w:sz w:val="24"/>
          <w:szCs w:val="24"/>
        </w:rPr>
        <w:t>月</w:t>
      </w:r>
      <w:r>
        <w:rPr>
          <w:rFonts w:hint="eastAsia" w:ascii="宋体" w:hAnsi="宋体"/>
          <w:bCs/>
          <w:color w:val="FF0000"/>
          <w:sz w:val="24"/>
          <w:szCs w:val="24"/>
          <w:lang w:val="en-US" w:eastAsia="zh-CN"/>
        </w:rPr>
        <w:t>01</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04</w:t>
      </w:r>
      <w:r>
        <w:rPr>
          <w:rFonts w:hint="eastAsia" w:ascii="宋体" w:hAnsi="宋体"/>
          <w:bCs/>
          <w:sz w:val="24"/>
          <w:szCs w:val="24"/>
        </w:rPr>
        <w:t>月</w:t>
      </w:r>
      <w:r>
        <w:rPr>
          <w:rFonts w:hint="eastAsia" w:ascii="宋体" w:hAnsi="宋体"/>
          <w:bCs/>
          <w:color w:val="FF0000"/>
          <w:sz w:val="24"/>
          <w:szCs w:val="24"/>
          <w:lang w:val="en-US" w:eastAsia="zh-CN"/>
        </w:rPr>
        <w:t>11</w:t>
      </w:r>
      <w:r>
        <w:rPr>
          <w:rFonts w:hint="eastAsia" w:ascii="宋体" w:hAnsi="宋体"/>
          <w:bCs/>
          <w:sz w:val="24"/>
          <w:szCs w:val="24"/>
        </w:rPr>
        <w:t>日</w:t>
      </w:r>
      <w:r>
        <w:rPr>
          <w:rFonts w:hint="eastAsia" w:ascii="宋体" w:hAnsi="宋体"/>
          <w:bCs/>
          <w:color w:val="FF0000"/>
          <w:sz w:val="24"/>
          <w:szCs w:val="24"/>
        </w:rPr>
        <w:t>1</w:t>
      </w:r>
      <w:r>
        <w:rPr>
          <w:rFonts w:hint="eastAsia" w:ascii="宋体" w:hAnsi="宋体"/>
          <w:bCs/>
          <w:color w:val="FF0000"/>
          <w:sz w:val="24"/>
          <w:szCs w:val="24"/>
          <w:lang w:val="en-US" w:eastAsia="zh-CN"/>
        </w:rPr>
        <w:t>7</w:t>
      </w:r>
      <w:bookmarkStart w:id="3" w:name="_GoBack"/>
      <w:bookmarkEnd w:id="3"/>
      <w:r>
        <w:rPr>
          <w:rFonts w:hint="eastAsia" w:ascii="宋体" w:hAnsi="宋体"/>
          <w:bCs/>
          <w:color w:val="FF0000"/>
          <w:sz w:val="24"/>
          <w:szCs w:val="24"/>
        </w:rPr>
        <w:t>:00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color w:val="FF0000"/>
          <w:sz w:val="24"/>
          <w:szCs w:val="24"/>
        </w:rPr>
        <w:t>3#高炉炉前厂棚钢结构安全隐患整改工程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        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18</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3#高炉炉前厂棚钢结构安全隐患整改工程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3#高炉炉前厂棚钢结构安全隐患整改工程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04</w:t>
      </w:r>
      <w:r>
        <w:rPr>
          <w:rFonts w:hint="eastAsia" w:ascii="宋体" w:hAnsi="宋体" w:cs="宋体"/>
          <w:bCs/>
          <w:color w:val="FF0000"/>
          <w:kern w:val="36"/>
        </w:rPr>
        <w:t>月</w:t>
      </w:r>
      <w:r>
        <w:rPr>
          <w:rFonts w:hint="eastAsia" w:ascii="宋体" w:hAnsi="宋体" w:cs="宋体"/>
          <w:bCs/>
          <w:color w:val="FF0000"/>
          <w:kern w:val="36"/>
          <w:u w:val="single"/>
          <w:lang w:val="en-US" w:eastAsia="zh-CN"/>
        </w:rPr>
        <w:t>19</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1.  发包人确认下发的图纸及投标方</w:t>
      </w:r>
      <w:r>
        <w:rPr>
          <w:rFonts w:hint="eastAsia" w:ascii="宋体" w:hAnsi="宋体"/>
          <w:color w:val="auto"/>
          <w:lang w:val="en-US" w:eastAsia="zh-CN"/>
        </w:rPr>
        <w:t>现场踏勘</w:t>
      </w:r>
      <w:r>
        <w:rPr>
          <w:rFonts w:hint="eastAsia" w:ascii="宋体" w:hAnsi="宋体"/>
          <w:lang w:val="en-US" w:eastAsia="zh-CN"/>
        </w:rPr>
        <w:t xml:space="preserve">。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2.  工程概况和估算工作量：包含：3#高炉炉前腐蚀的厂棚钢结构等更换施工。工作量：钢结构制安约70t，钢结构拆除分解约70t，钢结构拆除安装（利旧）约5t，彩钢瓦安装约900m2，采光瓦安装约200m2，彩瓦拆除约1100m2等工作量。</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3.  投标有效期:90天。</w:t>
      </w:r>
    </w:p>
    <w:p>
      <w:pPr>
        <w:spacing w:beforeLines="50" w:afterLines="50" w:line="360" w:lineRule="exact"/>
        <w:rPr>
          <w:rFonts w:ascii="宋体" w:hAnsi="宋体"/>
        </w:rPr>
      </w:pPr>
      <w:r>
        <w:rPr>
          <w:rFonts w:hint="eastAsia" w:ascii="宋体" w:hAnsi="宋体"/>
          <w:b/>
        </w:rPr>
        <w:t>四、工期：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 xml:space="preserve">开工日期： 2022-04-30           （暂定）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 xml:space="preserve">竣工日期： 2022-07-29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eastAsia="zh-CN"/>
        </w:rPr>
      </w:pPr>
      <w:r>
        <w:rPr>
          <w:rFonts w:hint="eastAsia" w:ascii="宋体" w:hAnsi="宋体"/>
          <w:lang w:val="en-US" w:eastAsia="zh-CN"/>
        </w:rPr>
        <w:t>合同工期总日历天数 90 天。</w:t>
      </w:r>
      <w:r>
        <w:rPr>
          <w:rFonts w:hint="eastAsia" w:ascii="宋体" w:hAnsi="宋体"/>
          <w:lang w:eastAsia="zh-CN"/>
        </w:rPr>
        <w:t>具体开工时间以现场条件具备，发包人书面通知为准。本工程工期紧，投标人应有充分人员、材料、机械准备，否则发包人有权视有关情况进行考核，并另行选择施工队伍或终止合同。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2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3</w:t>
      </w:r>
      <w:r>
        <w:rPr>
          <w:rFonts w:hint="eastAsia" w:ascii="宋体" w:hAnsi="宋体" w:eastAsiaTheme="minorEastAsia" w:cstheme="minorBidi"/>
          <w:kern w:val="2"/>
          <w:sz w:val="21"/>
          <w:szCs w:val="22"/>
          <w:lang w:val="en-US" w:eastAsia="zh-CN" w:bidi="ar-SA"/>
        </w:rPr>
        <w:t>. 本次招标采取综合评分的方式进行评标，评分标准按以下表格计分，投标单位需对表内要求内容在投</w:t>
      </w:r>
      <w:r>
        <w:rPr>
          <w:rFonts w:hint="eastAsia"/>
          <w:bCs/>
          <w:kern w:val="36"/>
          <w:szCs w:val="21"/>
        </w:rPr>
        <w:t>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w:t>
      </w:r>
      <w:r>
        <w:rPr>
          <w:rFonts w:hint="eastAsia" w:ascii="宋体" w:hAnsi="宋体" w:cs="宋体"/>
          <w:bCs/>
          <w:lang w:val="en-US" w:eastAsia="zh-CN"/>
        </w:rPr>
        <w:t>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ind w:left="570" w:leftChars="0" w:firstLineChars="0"/>
        <w:rPr>
          <w:rFonts w:ascii="宋体" w:hAnsi="宋体" w:cs="宋体"/>
        </w:rPr>
      </w:pPr>
      <w:r>
        <w:rPr>
          <w:rFonts w:hint="eastAsia" w:ascii="宋体" w:hAnsi="宋体" w:cs="宋体"/>
        </w:rPr>
        <w:t>投标文件未按规定加盖公章和签字。</w:t>
      </w:r>
    </w:p>
    <w:p>
      <w:pPr>
        <w:numPr>
          <w:ilvl w:val="0"/>
          <w:numId w:val="4"/>
        </w:numPr>
        <w:spacing w:line="360" w:lineRule="exact"/>
        <w:ind w:left="570" w:leftChars="0" w:firstLineChars="0"/>
        <w:rPr>
          <w:rFonts w:ascii="宋体" w:hAnsi="宋体" w:cs="宋体"/>
        </w:rPr>
      </w:pPr>
      <w:r>
        <w:rPr>
          <w:rFonts w:hint="eastAsia" w:ascii="宋体" w:hAnsi="宋体" w:cs="宋体"/>
        </w:rPr>
        <w:t>投标文件字迹模糊、无法辨认影响评标的。</w:t>
      </w:r>
    </w:p>
    <w:p>
      <w:pPr>
        <w:numPr>
          <w:ilvl w:val="0"/>
          <w:numId w:val="4"/>
        </w:numPr>
        <w:spacing w:line="360" w:lineRule="exact"/>
        <w:ind w:left="570" w:leftChars="0" w:firstLineChars="0"/>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ind w:left="570" w:leftChars="0" w:firstLineChars="0"/>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ind w:left="570" w:leftChars="0" w:firstLineChars="0"/>
        <w:rPr>
          <w:rFonts w:ascii="宋体" w:hAnsi="宋体" w:cs="宋体"/>
        </w:rPr>
      </w:pPr>
      <w:r>
        <w:rPr>
          <w:rFonts w:hint="eastAsia" w:ascii="宋体" w:hAnsi="宋体" w:cs="宋体"/>
        </w:rPr>
        <w:t>投标人企业资质不全或无资质的。</w:t>
      </w:r>
    </w:p>
    <w:p>
      <w:pPr>
        <w:numPr>
          <w:ilvl w:val="0"/>
          <w:numId w:val="4"/>
        </w:numPr>
        <w:spacing w:line="360" w:lineRule="exact"/>
        <w:ind w:left="570" w:leftChars="0" w:firstLineChars="0"/>
        <w:rPr>
          <w:rFonts w:ascii="宋体" w:hAnsi="宋体" w:cs="宋体"/>
        </w:rPr>
      </w:pPr>
      <w:r>
        <w:rPr>
          <w:rFonts w:hint="eastAsia" w:ascii="宋体" w:hAnsi="宋体" w:cs="宋体"/>
        </w:rPr>
        <w:t>附有招标人不能接受的条件的。</w:t>
      </w:r>
    </w:p>
    <w:p>
      <w:pPr>
        <w:numPr>
          <w:ilvl w:val="0"/>
          <w:numId w:val="4"/>
        </w:numPr>
        <w:spacing w:line="360" w:lineRule="exact"/>
        <w:ind w:left="570" w:leftChars="0" w:firstLineChars="0"/>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ind w:left="570" w:leftChars="0" w:firstLineChars="0"/>
        <w:rPr>
          <w:rFonts w:ascii="宋体" w:hAnsi="宋体" w:cs="宋体"/>
        </w:rPr>
      </w:pPr>
      <w:r>
        <w:rPr>
          <w:rFonts w:hint="eastAsia" w:ascii="宋体" w:hAnsi="宋体" w:cs="宋体"/>
        </w:rPr>
        <w:t>以联合体方式投标而无共同投标协议的。</w:t>
      </w:r>
    </w:p>
    <w:p>
      <w:pPr>
        <w:numPr>
          <w:ilvl w:val="0"/>
          <w:numId w:val="4"/>
        </w:numPr>
        <w:spacing w:line="360" w:lineRule="exact"/>
        <w:ind w:left="570" w:leftChars="0" w:firstLineChars="0"/>
        <w:rPr>
          <w:rFonts w:ascii="宋体" w:hAnsi="宋体" w:cs="宋体"/>
        </w:rPr>
      </w:pPr>
      <w:r>
        <w:rPr>
          <w:rFonts w:hint="eastAsia" w:ascii="宋体" w:hAnsi="宋体" w:cs="宋体"/>
        </w:rPr>
        <w:t>以他人名义投标的。</w:t>
      </w:r>
    </w:p>
    <w:p>
      <w:pPr>
        <w:numPr>
          <w:ilvl w:val="0"/>
          <w:numId w:val="4"/>
        </w:numPr>
        <w:spacing w:line="360" w:lineRule="exact"/>
        <w:ind w:left="570" w:leftChars="0" w:firstLineChars="0"/>
        <w:rPr>
          <w:rFonts w:ascii="宋体" w:hAnsi="宋体" w:cs="宋体"/>
        </w:rPr>
      </w:pPr>
      <w:r>
        <w:rPr>
          <w:rFonts w:hint="eastAsia" w:ascii="宋体" w:hAnsi="宋体" w:cs="宋体"/>
        </w:rPr>
        <w:t>未按招标文件要求提交投标保证金的。</w:t>
      </w:r>
    </w:p>
    <w:p>
      <w:pPr>
        <w:numPr>
          <w:ilvl w:val="0"/>
          <w:numId w:val="4"/>
        </w:numPr>
        <w:spacing w:line="360" w:lineRule="exact"/>
        <w:ind w:left="570" w:leftChars="0" w:firstLineChars="0"/>
        <w:rPr>
          <w:rFonts w:hint="default" w:eastAsiaTheme="minorEastAsia"/>
          <w:lang w:val="en-US" w:eastAsia="zh-CN"/>
        </w:rPr>
      </w:pPr>
      <w:r>
        <w:rPr>
          <w:rFonts w:hint="eastAsia" w:ascii="宋体" w:hAnsi="宋体" w:cs="宋体"/>
        </w:rPr>
        <w:t>投标人串通投标、弄虚作假或者以行贿、欺骗等不正当手段谋取中标的。</w:t>
      </w:r>
    </w:p>
    <w:p>
      <w:pPr>
        <w:numPr>
          <w:ilvl w:val="0"/>
          <w:numId w:val="4"/>
        </w:numPr>
        <w:spacing w:line="360" w:lineRule="exact"/>
        <w:ind w:left="570" w:leftChars="0" w:firstLineChars="0"/>
        <w:rPr>
          <w:rFonts w:hint="default" w:ascii="宋体" w:hAnsi="宋体" w:cs="宋体"/>
          <w:lang w:val="en-US" w:eastAsia="zh-CN"/>
        </w:rPr>
      </w:pPr>
      <w:r>
        <w:rPr>
          <w:rFonts w:hint="default" w:ascii="宋体" w:hAnsi="宋体" w:cs="宋体"/>
          <w:lang w:val="en-US" w:eastAsia="zh-CN"/>
        </w:rPr>
        <w:t>被国家公共信用机构(国家公共信用信息中心、信用中国）列入失信名单的企业或个人实际控制的企业</w:t>
      </w:r>
      <w:r>
        <w:rPr>
          <w:rFonts w:hint="eastAsia" w:ascii="宋体" w:hAnsi="宋体" w:cs="宋体"/>
          <w:lang w:val="en-US" w:eastAsia="zh-CN"/>
        </w:rPr>
        <w:t>。</w:t>
      </w:r>
    </w:p>
    <w:p>
      <w:pPr>
        <w:numPr>
          <w:ilvl w:val="0"/>
          <w:numId w:val="4"/>
        </w:numPr>
        <w:spacing w:line="360" w:lineRule="exact"/>
        <w:ind w:left="570" w:leftChars="0" w:hanging="360" w:firstLineChars="0"/>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w:t>
      </w:r>
      <w:r>
        <w:rPr>
          <w:rFonts w:hint="eastAsia" w:ascii="宋体" w:hAnsi="宋体"/>
          <w:bCs/>
          <w:lang w:val="en-US" w:eastAsia="zh-CN"/>
        </w:rPr>
        <w:t>提交</w:t>
      </w:r>
      <w:r>
        <w:rPr>
          <w:rFonts w:hint="eastAsia" w:ascii="宋体" w:hAnsi="宋体"/>
          <w:bCs/>
        </w:rPr>
        <w:t>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中铸投标工具</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r>
        <w:rPr>
          <w:rFonts w:hint="eastAsia" w:ascii="宋体" w:hAnsi="宋体" w:cs="宋体"/>
          <w:lang w:val="en-US" w:eastAsia="zh-CN"/>
        </w:rPr>
        <w:t>。</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val="en-US" w:eastAsia="zh-CN"/>
        </w:rPr>
        <w:t>贰仟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伍仟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hint="eastAsia" w:ascii="宋体" w:hAnsi="宋体"/>
          <w:b/>
          <w:bCs/>
          <w:sz w:val="36"/>
          <w:szCs w:val="36"/>
        </w:rPr>
      </w:pPr>
      <w:r>
        <w:rPr>
          <w:rFonts w:hint="eastAsia" w:ascii="宋体" w:hAnsi="宋体"/>
          <w:b/>
          <w:bCs/>
          <w:sz w:val="36"/>
          <w:szCs w:val="36"/>
          <w:u w:val="single"/>
        </w:rPr>
        <w:t xml:space="preserve"> </w:t>
      </w:r>
      <w:r>
        <w:rPr>
          <w:rFonts w:hint="eastAsia"/>
          <w:b/>
          <w:bCs/>
          <w:sz w:val="36"/>
          <w:szCs w:val="36"/>
          <w:u w:val="single"/>
          <w:lang w:eastAsia="zh-CN"/>
        </w:rPr>
        <w:t>3#高炉炉前厂棚钢结构安全隐患整改工程</w:t>
      </w:r>
      <w:r>
        <w:rPr>
          <w:rFonts w:hint="eastAsia"/>
          <w:b/>
          <w:bCs/>
          <w:sz w:val="36"/>
          <w:szCs w:val="36"/>
          <w:u w:val="single"/>
          <w:lang w:val="en-US" w:eastAsia="zh-CN"/>
        </w:rPr>
        <w:t xml:space="preserve"> </w:t>
      </w:r>
      <w:r>
        <w:rPr>
          <w:rFonts w:hint="eastAsia" w:ascii="宋体" w:hAnsi="宋体"/>
          <w:b/>
          <w:bCs/>
          <w:sz w:val="36"/>
          <w:szCs w:val="36"/>
        </w:rPr>
        <w:t>报价单</w:t>
      </w:r>
    </w:p>
    <w:tbl>
      <w:tblPr>
        <w:tblStyle w:val="13"/>
        <w:tblW w:w="15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46"/>
        <w:gridCol w:w="772"/>
        <w:gridCol w:w="1992"/>
        <w:gridCol w:w="1715"/>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75"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序号</w:t>
            </w:r>
          </w:p>
        </w:tc>
        <w:tc>
          <w:tcPr>
            <w:tcW w:w="1746" w:type="dxa"/>
            <w:noWrap w:val="0"/>
            <w:vAlign w:val="center"/>
          </w:tcPr>
          <w:p>
            <w:pPr>
              <w:spacing w:line="300" w:lineRule="auto"/>
              <w:jc w:val="center"/>
              <w:rPr>
                <w:rFonts w:hint="eastAsia" w:ascii="宋体" w:hAnsi="宋体" w:cs="宋体"/>
                <w:sz w:val="24"/>
                <w:szCs w:val="24"/>
              </w:rPr>
            </w:pPr>
            <w:r>
              <w:rPr>
                <w:rFonts w:hint="eastAsia" w:ascii="宋体" w:hAnsi="宋体" w:cs="宋体"/>
                <w:color w:val="000000"/>
                <w:kern w:val="0"/>
                <w:sz w:val="24"/>
                <w:szCs w:val="24"/>
              </w:rPr>
              <w:t>分项名称</w:t>
            </w:r>
          </w:p>
        </w:tc>
        <w:tc>
          <w:tcPr>
            <w:tcW w:w="772" w:type="dxa"/>
            <w:noWrap w:val="0"/>
            <w:vAlign w:val="center"/>
          </w:tcPr>
          <w:p>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c>
          <w:tcPr>
            <w:tcW w:w="1992" w:type="dxa"/>
            <w:noWrap w:val="0"/>
            <w:vAlign w:val="center"/>
          </w:tcPr>
          <w:p>
            <w:pPr>
              <w:spacing w:line="30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暂估</w:t>
            </w:r>
          </w:p>
          <w:p>
            <w:pPr>
              <w:spacing w:line="300" w:lineRule="auto"/>
              <w:jc w:val="center"/>
              <w:rPr>
                <w:rFonts w:hint="default"/>
                <w:kern w:val="2"/>
                <w:sz w:val="21"/>
                <w:lang w:val="en-US" w:eastAsia="zh-CN" w:bidi="ar-SA"/>
              </w:rPr>
            </w:pPr>
            <w:r>
              <w:rPr>
                <w:rFonts w:hint="eastAsia" w:ascii="宋体" w:hAnsi="宋体" w:cs="宋体"/>
                <w:sz w:val="22"/>
                <w:szCs w:val="22"/>
              </w:rPr>
              <w:t>工程量</w:t>
            </w:r>
          </w:p>
        </w:tc>
        <w:tc>
          <w:tcPr>
            <w:tcW w:w="1715" w:type="dxa"/>
            <w:noWrap w:val="0"/>
            <w:vAlign w:val="center"/>
          </w:tcPr>
          <w:p>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报价</w:t>
            </w:r>
          </w:p>
        </w:tc>
        <w:tc>
          <w:tcPr>
            <w:tcW w:w="8216"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116" w:type="dxa"/>
            <w:gridSpan w:val="6"/>
            <w:noWrap w:val="0"/>
            <w:vAlign w:val="center"/>
          </w:tcPr>
          <w:p>
            <w:pPr>
              <w:jc w:val="left"/>
              <w:rPr>
                <w:rFonts w:ascii="宋体" w:hAnsi="宋体" w:cs="宋体"/>
                <w:sz w:val="24"/>
                <w:szCs w:val="24"/>
              </w:rPr>
            </w:pPr>
            <w:r>
              <w:rPr>
                <w:rFonts w:hint="eastAsia" w:ascii="宋体" w:hAnsi="宋体" w:cs="宋体"/>
                <w:sz w:val="24"/>
                <w:szCs w:val="24"/>
              </w:rPr>
              <w:t>一、单价</w:t>
            </w:r>
            <w:r>
              <w:rPr>
                <w:rFonts w:hint="eastAsia" w:ascii="宋体" w:hAnsi="宋体" w:cs="宋体"/>
                <w:sz w:val="24"/>
                <w:szCs w:val="24"/>
                <w:lang w:val="en-US" w:eastAsia="zh-CN"/>
              </w:rPr>
              <w:t>包干</w:t>
            </w:r>
            <w:r>
              <w:rPr>
                <w:rFonts w:hint="eastAsia" w:ascii="宋体" w:hAnsi="宋体" w:cs="宋体"/>
                <w:sz w:val="24"/>
                <w:szCs w:val="24"/>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7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7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钢结构制安</w:t>
            </w:r>
          </w:p>
        </w:tc>
        <w:tc>
          <w:tcPr>
            <w:tcW w:w="772"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rPr>
            </w:pPr>
            <w:r>
              <w:rPr>
                <w:rFonts w:hint="eastAsia" w:ascii="宋体" w:hAnsi="宋体" w:eastAsia="宋体" w:cs="宋体"/>
                <w:i w:val="0"/>
                <w:iCs w:val="0"/>
                <w:color w:val="000000"/>
                <w:kern w:val="0"/>
                <w:sz w:val="20"/>
                <w:szCs w:val="20"/>
                <w:u w:val="none"/>
                <w:lang w:val="en-US" w:eastAsia="zh-CN" w:bidi="ar"/>
              </w:rPr>
              <w:t>t</w:t>
            </w:r>
          </w:p>
        </w:tc>
        <w:tc>
          <w:tcPr>
            <w:tcW w:w="1992"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0"/>
                <w:szCs w:val="20"/>
                <w:u w:val="none"/>
                <w:lang w:val="en-US" w:eastAsia="zh-CN" w:bidi="ar"/>
              </w:rPr>
              <w:t>70</w:t>
            </w:r>
          </w:p>
        </w:tc>
        <w:tc>
          <w:tcPr>
            <w:tcW w:w="1715" w:type="dxa"/>
            <w:noWrap w:val="0"/>
            <w:vAlign w:val="center"/>
          </w:tcPr>
          <w:p>
            <w:pPr>
              <w:widowControl/>
              <w:wordWrap w:val="0"/>
              <w:jc w:val="righ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821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屋架、托架、天窗、檩条、檩托、支撑、拉条、平台、梯子、栏杆、天沟、清灰斗等所有钢构制安的卸车、运输、倒运、制作、安装、除锈、刷漆（含油漆）等全部工序及涉及的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7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7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钢结构拆除分解</w:t>
            </w:r>
          </w:p>
        </w:tc>
        <w:tc>
          <w:tcPr>
            <w:tcW w:w="772" w:type="dxa"/>
            <w:noWrap w:val="0"/>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eastAsia="宋体" w:cs="宋体"/>
                <w:i w:val="0"/>
                <w:iCs w:val="0"/>
                <w:color w:val="000000"/>
                <w:kern w:val="0"/>
                <w:sz w:val="21"/>
                <w:szCs w:val="21"/>
                <w:u w:val="none"/>
                <w:lang w:val="en-US" w:eastAsia="zh-CN" w:bidi="ar"/>
              </w:rPr>
              <w:t>t</w:t>
            </w:r>
          </w:p>
        </w:tc>
        <w:tc>
          <w:tcPr>
            <w:tcW w:w="1992"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1"/>
                <w:szCs w:val="21"/>
                <w:u w:val="none"/>
                <w:lang w:val="en-US" w:eastAsia="zh-CN" w:bidi="ar"/>
              </w:rPr>
              <w:t>70</w:t>
            </w:r>
          </w:p>
        </w:tc>
        <w:tc>
          <w:tcPr>
            <w:tcW w:w="1715" w:type="dxa"/>
            <w:noWrap w:val="0"/>
            <w:vAlign w:val="center"/>
          </w:tcPr>
          <w:p>
            <w:pPr>
              <w:widowControl/>
              <w:jc w:val="right"/>
              <w:rPr>
                <w:rFonts w:ascii="宋体" w:hAnsi="宋体" w:cs="宋体"/>
                <w:sz w:val="24"/>
                <w:szCs w:val="24"/>
                <w:u w:val="single"/>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8216" w:type="dxa"/>
            <w:noWrap w:val="0"/>
            <w:vAlign w:val="center"/>
          </w:tcPr>
          <w:p>
            <w:pPr>
              <w:keepNext w:val="0"/>
              <w:keepLines w:val="0"/>
              <w:widowControl/>
              <w:suppressLineNumbers w:val="0"/>
              <w:jc w:val="left"/>
              <w:textAlignment w:val="center"/>
              <w:rPr>
                <w:rFonts w:hint="default" w:ascii="宋体" w:hAnsi="宋体" w:eastAsia="宋体" w:cs="宋体"/>
                <w:color w:val="auto"/>
                <w:kern w:val="0"/>
                <w:sz w:val="21"/>
                <w:szCs w:val="21"/>
                <w:lang w:val="en-US" w:eastAsia="zh-CN" w:bidi="ar"/>
              </w:rPr>
            </w:pPr>
            <w:r>
              <w:rPr>
                <w:rStyle w:val="26"/>
                <w:lang w:val="en-US" w:eastAsia="zh-CN" w:bidi="ar"/>
              </w:rPr>
              <w:t>包括拆除、分解成块（</w:t>
            </w:r>
            <w:r>
              <w:rPr>
                <w:rStyle w:val="26"/>
                <w:rFonts w:hint="eastAsia"/>
                <w:lang w:val="en-US" w:eastAsia="zh-CN" w:bidi="ar"/>
              </w:rPr>
              <w:t>8</w:t>
            </w:r>
            <w:r>
              <w:rPr>
                <w:rStyle w:val="26"/>
                <w:lang w:val="en-US" w:eastAsia="zh-CN" w:bidi="ar"/>
              </w:rPr>
              <w:t>00mm以内）、运输、倒运等涉及的全部工序及人工费、机械费、材料费、措施费、不可竞争费、税金、水电费等全部费用。由施工现场送至厂内指定地点（以磅单为结算依</w:t>
            </w:r>
            <w:r>
              <w:rPr>
                <w:rFonts w:hint="eastAsia" w:ascii="宋体" w:hAnsi="宋体" w:eastAsia="宋体" w:cs="宋体"/>
                <w:i w:val="0"/>
                <w:iCs w:val="0"/>
                <w:color w:val="000000"/>
                <w:kern w:val="0"/>
                <w:sz w:val="20"/>
                <w:szCs w:val="20"/>
                <w:u w:val="none"/>
                <w:lang w:val="en-US" w:eastAsia="zh-CN" w:bidi="ar"/>
              </w:rPr>
              <w:t>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7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钢结构拆除安装（利旧）</w:t>
            </w:r>
          </w:p>
        </w:tc>
        <w:tc>
          <w:tcPr>
            <w:tcW w:w="772" w:type="dxa"/>
            <w:noWrap w:val="0"/>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1"/>
                <w:szCs w:val="21"/>
                <w:u w:val="none"/>
                <w:lang w:val="en-US" w:eastAsia="zh-CN" w:bidi="ar"/>
              </w:rPr>
              <w:t>t</w:t>
            </w:r>
          </w:p>
        </w:tc>
        <w:tc>
          <w:tcPr>
            <w:tcW w:w="1992"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715"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8216" w:type="dxa"/>
            <w:noWrap w:val="0"/>
            <w:vAlign w:val="center"/>
          </w:tcPr>
          <w:p>
            <w:pPr>
              <w:keepNext w:val="0"/>
              <w:keepLines w:val="0"/>
              <w:widowControl/>
              <w:suppressLineNumbers w:val="0"/>
              <w:jc w:val="left"/>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包括利旧钢构的拆除、倒运、改造、安装、除锈、刷漆等涉及的全部工序及人工费、机械费、材料费（不含钢构材料费）、措施费、不可竞争费、税金、水电费等全部费用。以安装的利旧钢构量计取。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746" w:type="dxa"/>
            <w:noWrap w:val="0"/>
            <w:vAlign w:val="center"/>
          </w:tcPr>
          <w:p>
            <w:pPr>
              <w:keepNext w:val="0"/>
              <w:keepLines w:val="0"/>
              <w:widowControl/>
              <w:suppressLineNumbers w:val="0"/>
              <w:jc w:val="left"/>
              <w:textAlignment w:val="center"/>
              <w:rPr>
                <w:rFonts w:hint="eastAsia" w:ascii="宋体" w:hAnsi="宋体" w:cs="宋体"/>
                <w:color w:val="000000"/>
                <w:kern w:val="0"/>
                <w:sz w:val="28"/>
                <w:szCs w:val="28"/>
                <w:lang w:val="en-US" w:eastAsia="zh-CN" w:bidi="ar"/>
              </w:rPr>
            </w:pPr>
            <w:r>
              <w:rPr>
                <w:rFonts w:hint="eastAsia" w:ascii="宋体" w:hAnsi="宋体" w:eastAsia="宋体" w:cs="宋体"/>
                <w:i w:val="0"/>
                <w:iCs w:val="0"/>
                <w:color w:val="000000"/>
                <w:kern w:val="0"/>
                <w:sz w:val="20"/>
                <w:szCs w:val="20"/>
                <w:u w:val="none"/>
                <w:lang w:val="en-US" w:eastAsia="zh-CN" w:bidi="ar"/>
              </w:rPr>
              <w:t>彩钢瓦安装</w:t>
            </w:r>
          </w:p>
        </w:tc>
        <w:tc>
          <w:tcPr>
            <w:tcW w:w="772"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992"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1"/>
                <w:szCs w:val="21"/>
                <w:u w:val="none"/>
                <w:lang w:val="en-US" w:eastAsia="zh-CN" w:bidi="ar"/>
              </w:rPr>
              <w:t>900</w:t>
            </w:r>
          </w:p>
        </w:tc>
        <w:tc>
          <w:tcPr>
            <w:tcW w:w="1715"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1"/>
                <w:szCs w:val="21"/>
                <w:u w:val="none"/>
                <w:lang w:val="en-US" w:eastAsia="zh-CN" w:bidi="ar"/>
              </w:rPr>
              <w:t>m2</w:t>
            </w:r>
          </w:p>
        </w:tc>
        <w:tc>
          <w:tcPr>
            <w:tcW w:w="821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i w:val="0"/>
                <w:iCs w:val="0"/>
                <w:color w:val="000000"/>
                <w:kern w:val="0"/>
                <w:sz w:val="20"/>
                <w:szCs w:val="20"/>
                <w:u w:val="none"/>
                <w:lang w:val="en-US" w:eastAsia="zh-CN" w:bidi="ar"/>
              </w:rPr>
              <w:t>包括卸车、运输、倒运、安装等涉及的全部工序及人工费、机械费、材料费、措施费、不可竞争费、税金、水电费等全部费用。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746" w:type="dxa"/>
            <w:noWrap w:val="0"/>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采光瓦安装</w:t>
            </w:r>
          </w:p>
        </w:tc>
        <w:tc>
          <w:tcPr>
            <w:tcW w:w="772"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992"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1"/>
                <w:szCs w:val="21"/>
                <w:u w:val="none"/>
                <w:lang w:val="en-US" w:eastAsia="zh-CN" w:bidi="ar"/>
              </w:rPr>
              <w:t>200</w:t>
            </w:r>
          </w:p>
        </w:tc>
        <w:tc>
          <w:tcPr>
            <w:tcW w:w="1715"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1"/>
                <w:szCs w:val="21"/>
                <w:u w:val="none"/>
                <w:lang w:val="en-US" w:eastAsia="zh-CN" w:bidi="ar"/>
              </w:rPr>
              <w:t>m2</w:t>
            </w:r>
          </w:p>
        </w:tc>
        <w:tc>
          <w:tcPr>
            <w:tcW w:w="821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包括卸车、运输、倒运、安装等涉及的全部工序及人工费、机械费、材料费、措施费、不可竞争费、税金、水电费等全部费用。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7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746" w:type="dxa"/>
            <w:noWrap w:val="0"/>
            <w:vAlign w:val="center"/>
          </w:tcPr>
          <w:p>
            <w:pPr>
              <w:keepNext w:val="0"/>
              <w:keepLines w:val="0"/>
              <w:widowControl/>
              <w:suppressLineNumbers w:val="0"/>
              <w:jc w:val="left"/>
              <w:textAlignment w:val="center"/>
              <w:rPr>
                <w:rFonts w:hint="eastAsia" w:ascii="宋体" w:hAnsi="宋体" w:cs="宋体"/>
                <w:color w:val="000000"/>
                <w:kern w:val="0"/>
                <w:sz w:val="28"/>
                <w:szCs w:val="28"/>
                <w:lang w:val="en-US" w:eastAsia="zh-CN" w:bidi="ar"/>
              </w:rPr>
            </w:pPr>
            <w:r>
              <w:rPr>
                <w:rFonts w:hint="eastAsia" w:ascii="宋体" w:hAnsi="宋体" w:eastAsia="宋体" w:cs="宋体"/>
                <w:i w:val="0"/>
                <w:iCs w:val="0"/>
                <w:color w:val="000000"/>
                <w:kern w:val="0"/>
                <w:sz w:val="20"/>
                <w:szCs w:val="20"/>
                <w:u w:val="none"/>
                <w:lang w:val="en-US" w:eastAsia="zh-CN" w:bidi="ar"/>
              </w:rPr>
              <w:t>彩瓦拆除（含采光瓦）</w:t>
            </w:r>
          </w:p>
        </w:tc>
        <w:tc>
          <w:tcPr>
            <w:tcW w:w="772"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992"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1"/>
                <w:szCs w:val="21"/>
                <w:u w:val="none"/>
                <w:lang w:val="en-US" w:eastAsia="zh-CN" w:bidi="ar"/>
              </w:rPr>
              <w:t>1100</w:t>
            </w:r>
          </w:p>
        </w:tc>
        <w:tc>
          <w:tcPr>
            <w:tcW w:w="1715"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1"/>
                <w:szCs w:val="21"/>
                <w:u w:val="none"/>
                <w:lang w:val="en-US" w:eastAsia="zh-CN" w:bidi="ar"/>
              </w:rPr>
              <w:t>m2</w:t>
            </w:r>
          </w:p>
        </w:tc>
        <w:tc>
          <w:tcPr>
            <w:tcW w:w="8216" w:type="dxa"/>
            <w:noWrap w:val="0"/>
            <w:vAlign w:val="center"/>
          </w:tcPr>
          <w:p>
            <w:pPr>
              <w:keepNext w:val="0"/>
              <w:keepLines w:val="0"/>
              <w:widowControl/>
              <w:suppressLineNumbers w:val="0"/>
              <w:jc w:val="both"/>
              <w:textAlignment w:val="center"/>
              <w:rPr>
                <w:rFonts w:hint="eastAsia" w:ascii="宋体" w:hAnsi="宋体" w:cs="宋体"/>
                <w:color w:val="auto"/>
                <w:kern w:val="0"/>
                <w:sz w:val="21"/>
                <w:szCs w:val="21"/>
                <w:lang w:bidi="ar"/>
              </w:rPr>
            </w:pPr>
            <w:r>
              <w:rPr>
                <w:rFonts w:hint="eastAsia" w:ascii="宋体" w:hAnsi="宋体" w:eastAsia="宋体" w:cs="宋体"/>
                <w:i w:val="0"/>
                <w:iCs w:val="0"/>
                <w:color w:val="000000"/>
                <w:kern w:val="0"/>
                <w:sz w:val="20"/>
                <w:szCs w:val="20"/>
                <w:u w:val="none"/>
                <w:lang w:val="en-US" w:eastAsia="zh-CN" w:bidi="ar"/>
              </w:rPr>
              <w:t>包括拆除、分解成块（800mm以内）、运输、倒运等涉及的全部工序及人工费、机械费、材料费、措施费、不可竞争费、税金、水电费等全部费用。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116" w:type="dxa"/>
            <w:gridSpan w:val="6"/>
            <w:noWrap w:val="0"/>
            <w:vAlign w:val="center"/>
          </w:tcPr>
          <w:p>
            <w:pPr>
              <w:jc w:val="left"/>
              <w:rPr>
                <w:rFonts w:hint="eastAsia" w:ascii="宋体" w:hAnsi="宋体" w:cs="宋体"/>
                <w:sz w:val="21"/>
                <w:szCs w:val="21"/>
              </w:rPr>
            </w:pPr>
            <w:r>
              <w:rPr>
                <w:rFonts w:hint="eastAsia" w:ascii="宋体" w:hAnsi="宋体" w:cs="宋体"/>
                <w:sz w:val="21"/>
                <w:szCs w:val="21"/>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746" w:type="dxa"/>
            <w:noWrap w:val="0"/>
            <w:vAlign w:val="center"/>
          </w:tcPr>
          <w:p>
            <w:pPr>
              <w:jc w:val="left"/>
              <w:rPr>
                <w:rFonts w:hint="eastAsia" w:ascii="宋体" w:hAnsi="宋体" w:cs="宋体"/>
                <w:sz w:val="24"/>
                <w:szCs w:val="24"/>
              </w:rPr>
            </w:pPr>
            <w:r>
              <w:rPr>
                <w:rFonts w:hint="eastAsia"/>
                <w:sz w:val="24"/>
                <w:szCs w:val="24"/>
              </w:rPr>
              <w:t>优惠率（不包含材料费）</w:t>
            </w:r>
          </w:p>
        </w:tc>
        <w:tc>
          <w:tcPr>
            <w:tcW w:w="772" w:type="dxa"/>
            <w:noWrap w:val="0"/>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项</w:t>
            </w:r>
          </w:p>
        </w:tc>
        <w:tc>
          <w:tcPr>
            <w:tcW w:w="1992" w:type="dxa"/>
            <w:noWrap w:val="0"/>
            <w:vAlign w:val="center"/>
          </w:tcPr>
          <w:p>
            <w:pPr>
              <w:spacing w:before="156" w:beforeLines="50" w:after="156" w:afterLines="50"/>
              <w:jc w:val="left"/>
              <w:rPr>
                <w:rFonts w:hint="eastAsia" w:ascii="宋体" w:hAnsi="宋体" w:cs="宋体"/>
                <w:sz w:val="24"/>
                <w:szCs w:val="24"/>
              </w:rPr>
            </w:pPr>
            <w:r>
              <w:rPr>
                <w:rFonts w:hint="eastAsia" w:ascii="宋体" w:hAnsi="宋体" w:cs="宋体"/>
                <w:sz w:val="22"/>
                <w:szCs w:val="22"/>
              </w:rPr>
              <w:t>暂</w:t>
            </w:r>
            <w:r>
              <w:rPr>
                <w:rFonts w:hint="eastAsia" w:ascii="宋体" w:hAnsi="宋体" w:cs="宋体"/>
                <w:sz w:val="22"/>
                <w:szCs w:val="22"/>
                <w:lang w:val="en-US" w:eastAsia="zh-CN"/>
              </w:rPr>
              <w:t>估</w:t>
            </w:r>
            <w:r>
              <w:rPr>
                <w:rFonts w:hint="eastAsia" w:ascii="宋体" w:hAnsi="宋体" w:cs="宋体"/>
                <w:sz w:val="22"/>
                <w:szCs w:val="22"/>
              </w:rPr>
              <w:t>金额</w:t>
            </w:r>
            <w:r>
              <w:rPr>
                <w:rFonts w:hint="eastAsia" w:ascii="宋体" w:hAnsi="宋体" w:cs="宋体"/>
                <w:sz w:val="22"/>
                <w:szCs w:val="22"/>
                <w:u w:val="single"/>
                <w:lang w:val="en-US" w:eastAsia="zh-CN"/>
              </w:rPr>
              <w:t>20000</w:t>
            </w:r>
            <w:r>
              <w:rPr>
                <w:rFonts w:hint="eastAsia" w:ascii="宋体" w:hAnsi="宋体" w:cs="宋体"/>
                <w:sz w:val="22"/>
                <w:szCs w:val="22"/>
              </w:rPr>
              <w:t>元</w:t>
            </w:r>
          </w:p>
        </w:tc>
        <w:tc>
          <w:tcPr>
            <w:tcW w:w="1715" w:type="dxa"/>
            <w:noWrap w:val="0"/>
            <w:vAlign w:val="center"/>
          </w:tcPr>
          <w:p>
            <w:pPr>
              <w:spacing w:before="156" w:beforeLines="50" w:after="156" w:afterLines="50"/>
              <w:jc w:val="lef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p>
        </w:tc>
        <w:tc>
          <w:tcPr>
            <w:tcW w:w="8216" w:type="dxa"/>
            <w:noWrap w:val="0"/>
            <w:vAlign w:val="top"/>
          </w:tcPr>
          <w:p>
            <w:pPr>
              <w:jc w:val="left"/>
              <w:rPr>
                <w:rFonts w:hint="eastAsia" w:ascii="宋体" w:hAnsi="宋体" w:cs="宋体"/>
                <w:sz w:val="21"/>
                <w:szCs w:val="21"/>
              </w:rPr>
            </w:pPr>
            <w:r>
              <w:rPr>
                <w:rFonts w:hint="eastAsia" w:ascii="宋体" w:hAnsi="宋体" w:cs="宋体"/>
                <w:sz w:val="21"/>
                <w:szCs w:val="21"/>
              </w:rPr>
              <w:t>执行2018版安徽省建设工程计价定额及配套费用定额，材料费不参与总价优惠。措施</w:t>
            </w:r>
            <w:r>
              <w:rPr>
                <w:rFonts w:hint="eastAsia" w:ascii="宋体" w:hAnsi="宋体" w:cs="宋体"/>
                <w:sz w:val="21"/>
                <w:szCs w:val="21"/>
                <w:lang w:val="en-US" w:eastAsia="zh-CN"/>
              </w:rPr>
              <w:t>项目</w:t>
            </w:r>
            <w:r>
              <w:rPr>
                <w:rFonts w:hint="eastAsia" w:ascii="宋体" w:hAnsi="宋体" w:cs="宋体"/>
                <w:sz w:val="21"/>
                <w:szCs w:val="21"/>
              </w:rPr>
              <w:t>费以</w:t>
            </w:r>
            <w:r>
              <w:rPr>
                <w:rFonts w:hint="eastAsia" w:ascii="宋体" w:hAnsi="宋体" w:cs="宋体"/>
                <w:sz w:val="21"/>
                <w:szCs w:val="21"/>
                <w:lang w:val="en-US" w:eastAsia="zh-CN"/>
              </w:rPr>
              <w:t>现场确认</w:t>
            </w:r>
            <w:r>
              <w:rPr>
                <w:rFonts w:hint="eastAsia" w:ascii="宋体" w:hAnsi="宋体" w:cs="宋体"/>
                <w:sz w:val="21"/>
                <w:szCs w:val="21"/>
              </w:rPr>
              <w:t>形式据实计取，二次搬运费不计取。报价折算百分比公式，优惠率=（暂估金额-报价）/暂估金额*100%。</w:t>
            </w:r>
          </w:p>
        </w:tc>
      </w:tr>
    </w:tbl>
    <w:p>
      <w:pPr>
        <w:pStyle w:val="2"/>
        <w:widowControl w:val="0"/>
        <w:numPr>
          <w:ilvl w:val="0"/>
          <w:numId w:val="0"/>
        </w:numPr>
        <w:spacing w:after="120"/>
        <w:ind w:firstLine="4080" w:firstLineChars="1700"/>
        <w:jc w:val="both"/>
        <w:rPr>
          <w:rFonts w:hint="eastAsia" w:ascii="宋体" w:hAnsi="宋体" w:cs="宋体"/>
          <w:color w:val="000000"/>
          <w:sz w:val="24"/>
          <w:szCs w:val="24"/>
        </w:rPr>
      </w:pPr>
    </w:p>
    <w:p>
      <w:pPr>
        <w:pStyle w:val="2"/>
        <w:widowControl w:val="0"/>
        <w:numPr>
          <w:ilvl w:val="0"/>
          <w:numId w:val="0"/>
        </w:numPr>
        <w:spacing w:after="120"/>
        <w:ind w:firstLine="4080" w:firstLineChars="1700"/>
        <w:jc w:val="both"/>
        <w:rPr>
          <w:rFonts w:hint="eastAsia"/>
        </w:r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b/>
          <w:sz w:val="28"/>
          <w:szCs w:val="28"/>
        </w:rPr>
      </w:pPr>
      <w:r>
        <w:rPr>
          <w:rFonts w:hint="eastAsia" w:ascii="仿宋_GB2312" w:eastAsia="仿宋_GB2312"/>
          <w:sz w:val="28"/>
          <w:szCs w:val="28"/>
        </w:rPr>
        <w:t>2、本申请函附有下列内容：</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ind w:left="559" w:leftChars="1" w:hanging="557" w:hangingChars="199"/>
        <w:textAlignment w:val="auto"/>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 xml:space="preserve">                                授权代表（签名或盖章）：</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80" w:firstLineChars="1600"/>
        <w:jc w:val="left"/>
        <w:textAlignment w:val="auto"/>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正  面</w:t>
                  </w:r>
                </w:p>
              </w:txbxContent>
            </v:textbox>
          </v:rect>
        </w:pict>
      </w:r>
    </w:p>
    <w:p>
      <w:pPr>
        <w:pStyle w:val="12"/>
        <w:widowControl/>
        <w:ind w:firstLine="420"/>
        <w:rPr>
          <w:rFonts w:hint="eastAsia"/>
        </w:rPr>
      </w:pPr>
    </w:p>
    <w:p>
      <w:pPr>
        <w:pStyle w:val="12"/>
        <w:widowControl/>
        <w:rPr>
          <w:rFonts w:hint="eastAsia"/>
        </w:rPr>
      </w:pPr>
    </w:p>
    <w:p>
      <w:pPr>
        <w:pStyle w:val="12"/>
        <w:widowControl/>
        <w:ind w:firstLine="560" w:firstLineChars="200"/>
        <w:rPr>
          <w:rFonts w:hint="eastAsia"/>
          <w:sz w:val="28"/>
          <w:szCs w:val="28"/>
          <w:lang w:val="en-US" w:eastAsia="zh-CN"/>
        </w:rPr>
      </w:pPr>
    </w:p>
    <w:p>
      <w:pPr>
        <w:pStyle w:val="12"/>
        <w:widowControl/>
        <w:ind w:firstLine="480" w:firstLineChars="200"/>
        <w:rPr>
          <w:rFonts w:hint="default" w:eastAsia="宋体"/>
          <w:lang w:val="en-US" w:eastAsia="zh-CN"/>
        </w:rPr>
      </w:pPr>
      <w:r>
        <w:rPr>
          <w:rFonts w:hint="eastAsia"/>
        </w:rPr>
        <w:pict>
          <v:rect id="_x0000_s1030" o:spid="_x0000_s1030" o:spt="1" style="position:absolute;left:0pt;margin-left:213.65pt;margin-top:31.7pt;height:84.7pt;width:147.5pt;z-index:251663360;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p>
                  <w:pPr>
                    <w:pStyle w:val="2"/>
                  </w:pPr>
                </w:p>
              </w:txbxContent>
            </v:textbox>
          </v:rect>
        </w:pict>
      </w:r>
      <w:r>
        <w:rPr>
          <w:rFonts w:hint="eastAsia"/>
        </w:rPr>
        <w:pict>
          <v:rect id="_x0000_s1029" o:spid="_x0000_s1029" o:spt="1" style="position:absolute;left:0pt;margin-left:41.7pt;margin-top:31.7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pPr>
                  <w:r>
                    <w:rPr>
                      <w:rFonts w:hint="eastAsia"/>
                      <w:lang w:val="en-US" w:eastAsia="zh-CN"/>
                    </w:rPr>
                    <w:t>正  面</w:t>
                  </w:r>
                </w:p>
              </w:txbxContent>
            </v:textbox>
          </v:rect>
        </w:pict>
      </w:r>
      <w:r>
        <w:rPr>
          <w:rFonts w:hint="eastAsia"/>
          <w:sz w:val="28"/>
          <w:szCs w:val="28"/>
          <w:lang w:val="en-US" w:eastAsia="zh-CN"/>
        </w:rPr>
        <w:t>法人代表身份证复印件：</w:t>
      </w:r>
    </w:p>
    <w:p>
      <w:pPr>
        <w:pStyle w:val="12"/>
        <w:widowControl/>
        <w:rPr>
          <w:rFonts w:hint="default" w:eastAsia="宋体"/>
          <w:lang w:val="en-US" w:eastAsia="zh-CN"/>
        </w:rPr>
      </w:pPr>
      <w:r>
        <w:rPr>
          <w:rFonts w:hint="eastAsia"/>
          <w:lang w:val="en-US" w:eastAsia="zh-CN"/>
        </w:rPr>
        <w:t xml:space="preserve">      </w:t>
      </w:r>
    </w:p>
    <w:p>
      <w:pPr>
        <w:pStyle w:val="12"/>
        <w:widowControl/>
        <w:rPr>
          <w:rFonts w:hint="eastAsia"/>
        </w:rPr>
      </w:pPr>
    </w:p>
    <w:p>
      <w:pPr>
        <w:pStyle w:val="12"/>
        <w:widowControl/>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15291886"/>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570"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1D6583"/>
    <w:rsid w:val="049C5847"/>
    <w:rsid w:val="05DC49B6"/>
    <w:rsid w:val="08A47291"/>
    <w:rsid w:val="09A50080"/>
    <w:rsid w:val="09C74F5E"/>
    <w:rsid w:val="09E638BB"/>
    <w:rsid w:val="0C4264BF"/>
    <w:rsid w:val="0CDA2242"/>
    <w:rsid w:val="0DFC1491"/>
    <w:rsid w:val="0E46415B"/>
    <w:rsid w:val="0F5072FB"/>
    <w:rsid w:val="12186FE6"/>
    <w:rsid w:val="13E821FB"/>
    <w:rsid w:val="154E0112"/>
    <w:rsid w:val="1A614AD2"/>
    <w:rsid w:val="1DC136C9"/>
    <w:rsid w:val="1F240430"/>
    <w:rsid w:val="1F60580A"/>
    <w:rsid w:val="214D2E1E"/>
    <w:rsid w:val="21F73AF2"/>
    <w:rsid w:val="22574413"/>
    <w:rsid w:val="23883F50"/>
    <w:rsid w:val="24C93CD8"/>
    <w:rsid w:val="24E835CF"/>
    <w:rsid w:val="24F54080"/>
    <w:rsid w:val="263B1C6F"/>
    <w:rsid w:val="27CB43C4"/>
    <w:rsid w:val="282A37D0"/>
    <w:rsid w:val="2838415D"/>
    <w:rsid w:val="2B7C00FD"/>
    <w:rsid w:val="2BB21C22"/>
    <w:rsid w:val="2EBF74DB"/>
    <w:rsid w:val="326329B3"/>
    <w:rsid w:val="33DF1EB4"/>
    <w:rsid w:val="34481C4C"/>
    <w:rsid w:val="3491604D"/>
    <w:rsid w:val="375F33F1"/>
    <w:rsid w:val="38EA6EF5"/>
    <w:rsid w:val="40D43A56"/>
    <w:rsid w:val="414F268B"/>
    <w:rsid w:val="42BD7D8D"/>
    <w:rsid w:val="4494055D"/>
    <w:rsid w:val="452453F0"/>
    <w:rsid w:val="466D1141"/>
    <w:rsid w:val="47614EF9"/>
    <w:rsid w:val="477A6E15"/>
    <w:rsid w:val="492349FE"/>
    <w:rsid w:val="492D560E"/>
    <w:rsid w:val="4C431ECB"/>
    <w:rsid w:val="4E4F6905"/>
    <w:rsid w:val="4F9F6F3E"/>
    <w:rsid w:val="52631A2B"/>
    <w:rsid w:val="529A772A"/>
    <w:rsid w:val="567534EE"/>
    <w:rsid w:val="567842B0"/>
    <w:rsid w:val="582A7EEA"/>
    <w:rsid w:val="583C7C29"/>
    <w:rsid w:val="59A06F0E"/>
    <w:rsid w:val="5AB76A94"/>
    <w:rsid w:val="5B0F0AB4"/>
    <w:rsid w:val="5D882CE0"/>
    <w:rsid w:val="63FE10F7"/>
    <w:rsid w:val="641805D6"/>
    <w:rsid w:val="64A26E4D"/>
    <w:rsid w:val="66296C18"/>
    <w:rsid w:val="67236DF1"/>
    <w:rsid w:val="678D2F4E"/>
    <w:rsid w:val="6903317D"/>
    <w:rsid w:val="6A715D94"/>
    <w:rsid w:val="6C7D1BC0"/>
    <w:rsid w:val="724E1F86"/>
    <w:rsid w:val="740F0761"/>
    <w:rsid w:val="77676C2F"/>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3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8975</Words>
  <Characters>9595</Characters>
  <Lines>80</Lines>
  <Paragraphs>22</Paragraphs>
  <TotalTime>24</TotalTime>
  <ScaleCrop>false</ScaleCrop>
  <LinksUpToDate>false</LinksUpToDate>
  <CharactersWithSpaces>10656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2022-04-01T07:52:26Z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D1A0F34327A0413C96BBF0182386BB71</vt:lpwstr>
  </property>
</Properties>
</file>