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eastAsia="zh-CN"/>
        </w:rPr>
        <w:t>动控部地坪漆工程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hAnsi="宋体"/>
          <w:color w:val="FF0000"/>
          <w:sz w:val="24"/>
          <w:szCs w:val="24"/>
          <w:highlight w:val="none"/>
          <w:lang w:val="en-US" w:eastAsia="zh-CN"/>
        </w:rPr>
        <w:t>建筑工程施工总承包叁级及以上资质或建筑装修装饰工程专业承包贰级及以上资质或防水防腐保温工程专业承包贰级及以上资质证书。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动控部地坪漆工程项目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动控部地坪漆工程项目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包含：动控部风机房、二发电、净环水泵房、空压机房、制氧设备间、维修车间、5#转气加压机房、软水大厅等区域的地坪漆施工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的方式进行报价。包含超耐磨聚氨脂地坪漆施工工序所含的人工费、机械费、材料费、材料倒运与保管费、原有地面处理（打磨、除尘、切缝、自流坪、补砼、清除油污等）、文明施工费、管理费、措施费、不可竞争费、利润、税金、水电费等所有费用。具体工作量办理现场确认单据实结算。</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tabs>
          <w:tab w:val="left" w:pos="426"/>
        </w:tabs>
        <w:spacing w:line="440" w:lineRule="exact"/>
        <w:ind w:left="283" w:hanging="247" w:hangingChars="118"/>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9.施工技术要求：本工程区域施工超耐磨聚氨脂地坪漆，需对原有地面进行处理，施工顺序为：基层处理、环氧底漆层、环氧中涂砂浆层、环氧腻子层、环氧面漆层、聚氨酯超耐磨面漆层、养护。</w:t>
      </w:r>
    </w:p>
    <w:p>
      <w:pPr>
        <w:tabs>
          <w:tab w:val="left" w:pos="426"/>
        </w:tabs>
        <w:spacing w:line="440" w:lineRule="exact"/>
        <w:ind w:left="283" w:hanging="247" w:hangingChars="118"/>
        <w:jc w:val="left"/>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 xml:space="preserve">  施工步骤：</w:t>
      </w:r>
    </w:p>
    <w:p>
      <w:pPr>
        <w:pStyle w:val="8"/>
        <w:snapToGrid w:val="0"/>
        <w:spacing w:line="440" w:lineRule="exact"/>
        <w:ind w:left="33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9.1、基层处理：打磨掉松散层、脱层及水泥残渣，进行清除油污、烘干局部潮气、孔洞及缝修补、除尘、自流坪等处理工作，使之坚硬、平整，并增加地坪涂层与地面的附着力。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9.2、底涂施工：把环氧封闭底漆配好后，辊涂、刮涂或刷涂，使其充分润湿混凝土，并渗入到混凝土内层。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9.3、中涂施工：将中涂材料与适量的石英砂充分混合搅拌均匀，用镘刀镘涂成一定厚度的平整密实层。待完全固化后，用无尘打磨机打磨地面，用吸尘器吸尽灰尘、打磨平整。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9.4、环氧腻子层：等砂浆层干透后，将基面清理干净用平刀批刮环氧树脂腻子。    </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9.5、面涂施工：将环氧面漆及固化剂混合均匀后，可镘涂、刷涂、辊涂或喷涂，使其流平，获得平整均匀的表面涂层。</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9.6、聚氨酯超耐磨层：单组份应尽量减少施工结合缝及颗粒。搅拌后的材料应在规定时间内涂布完毕，一般并注意前后组份材料的衔接，滚涂时发现有杂质应立即去除。大面积施工时，每个施工区域应尽量一次滚涂完，防止出现色差现象。</w:t>
      </w:r>
    </w:p>
    <w:p>
      <w:pPr>
        <w:pStyle w:val="8"/>
        <w:snapToGrid w:val="0"/>
        <w:spacing w:line="440" w:lineRule="exact"/>
        <w:ind w:left="360" w:hanging="315" w:hangingChars="1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10、本工程质保期2年。</w:t>
      </w:r>
    </w:p>
    <w:p>
      <w:pPr>
        <w:pStyle w:val="8"/>
        <w:snapToGrid w:val="0"/>
        <w:spacing w:line="440" w:lineRule="exact"/>
        <w:ind w:left="360" w:hanging="315" w:hangingChars="150"/>
        <w:rPr>
          <w:rFonts w:hint="default"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11、涉及到原有地坪漆铲除重新施工，铲除费用包含在地坪漆报价中，费用不另计取。</w:t>
      </w:r>
    </w:p>
    <w:p>
      <w:pPr>
        <w:numPr>
          <w:numId w:val="0"/>
        </w:numPr>
        <w:spacing w:line="360" w:lineRule="exact"/>
        <w:ind w:left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12、现场交叉作业较多，承包人需根据业主生产安排配合施工。</w:t>
      </w:r>
    </w:p>
    <w:p>
      <w:pPr>
        <w:keepNext w:val="0"/>
        <w:keepLines w:val="0"/>
        <w:widowControl/>
        <w:numPr>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动控部地坪漆工程项目报价单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地坪漆</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75元/ｍ2。包含超耐磨聚氨脂地坪漆施工工序所含的人工费、机械费、材料费、材料倒运与保管费、原有地面处理（打磨、除尘、切缝、自流坪、补砼、清除油污等）、文明施工费、管理费、措施费、不可竞争费、利润、税金、水电费等所有费用。</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214CC8"/>
    <w:rsid w:val="4FC1072C"/>
    <w:rsid w:val="51C85998"/>
    <w:rsid w:val="526A207D"/>
    <w:rsid w:val="53966193"/>
    <w:rsid w:val="54DA0463"/>
    <w:rsid w:val="558D3BDC"/>
    <w:rsid w:val="56266223"/>
    <w:rsid w:val="56F435CB"/>
    <w:rsid w:val="57181B7C"/>
    <w:rsid w:val="579A163B"/>
    <w:rsid w:val="58251DDC"/>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7784</Words>
  <Characters>8185</Characters>
  <Lines>80</Lines>
  <Paragraphs>22</Paragraphs>
  <TotalTime>1</TotalTime>
  <ScaleCrop>false</ScaleCrop>
  <LinksUpToDate>false</LinksUpToDate>
  <CharactersWithSpaces>8578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2022-04-09T06:18:00Z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