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widowControl/>
        <w:shd w:val="clear" w:color="auto" w:fill="FFFFFF"/>
        <w:spacing w:line="440" w:lineRule="exact"/>
        <w:jc w:val="center"/>
        <w:rPr>
          <w:rFonts w:hint="default" w:ascii="宋体" w:hAnsi="宋体"/>
          <w:color w:val="auto"/>
          <w:sz w:val="36"/>
          <w:szCs w:val="32"/>
          <w:lang w:val="en-US" w:eastAsia="zh-CN"/>
        </w:rPr>
      </w:pPr>
      <w:r>
        <w:rPr>
          <w:rFonts w:hint="eastAsia" w:ascii="宋体" w:hAnsi="宋体"/>
          <w:color w:val="auto"/>
          <w:sz w:val="36"/>
          <w:szCs w:val="32"/>
          <w:lang w:eastAsia="zh-CN"/>
        </w:rPr>
        <w:t>铸管部DN80-600特喷线设备基础桩基检测工程</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04</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12</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000000" w:themeColor="text1"/>
          <w:sz w:val="24"/>
          <w:szCs w:val="24"/>
          <w:u w:val="none"/>
        </w:rPr>
        <w:t>国家建设部门颁发的</w:t>
      </w:r>
      <w:r>
        <w:rPr>
          <w:rFonts w:hint="eastAsia" w:ascii="宋体" w:hAnsi="宋体"/>
          <w:bCs/>
          <w:color w:val="FF0000"/>
          <w:sz w:val="24"/>
          <w:szCs w:val="24"/>
        </w:rPr>
        <w:t>地基基础工程检测资质</w:t>
      </w:r>
      <w:r>
        <w:rPr>
          <w:rFonts w:hint="eastAsia" w:hAnsi="宋体"/>
          <w:color w:val="FF0000"/>
          <w:sz w:val="24"/>
          <w:szCs w:val="24"/>
          <w:highlight w:val="none"/>
          <w:lang w:val="en-US" w:eastAsia="zh-CN"/>
        </w:rPr>
        <w:t>。</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ascii="宋体" w:hAnsi="宋体"/>
          <w:bCs/>
          <w:sz w:val="24"/>
          <w:szCs w:val="24"/>
        </w:rPr>
        <w:t>国家</w:t>
      </w:r>
      <w:r>
        <w:rPr>
          <w:rFonts w:hint="eastAsia" w:ascii="宋体" w:hAnsi="宋体"/>
          <w:bCs/>
          <w:color w:val="FF0000"/>
          <w:sz w:val="24"/>
          <w:szCs w:val="24"/>
        </w:rPr>
        <w:t>土木工程师（岩土）</w:t>
      </w:r>
      <w:r>
        <w:rPr>
          <w:rFonts w:hint="eastAsia" w:ascii="宋体" w:hAnsi="宋体"/>
          <w:bCs/>
          <w:sz w:val="24"/>
          <w:szCs w:val="24"/>
        </w:rPr>
        <w:t>注册证书</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04</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13</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朱文涛</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15131563263</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铸管部DN80-600特喷线设备基础桩基检测工程</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铸管部DN80-600特喷线设备基础桩基检测工程</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w:t>
      </w:r>
      <w:r>
        <w:rPr>
          <w:rFonts w:hint="eastAsia" w:ascii="宋体" w:hAnsi="宋体"/>
          <w:color w:val="auto"/>
          <w:lang w:eastAsia="zh-CN"/>
        </w:rPr>
        <w:t>铸管部DN80-600特喷线桩基检测，</w:t>
      </w:r>
      <w:r>
        <w:rPr>
          <w:rFonts w:hint="eastAsia" w:ascii="宋体" w:hAnsi="宋体"/>
          <w:color w:val="auto"/>
          <w:lang w:val="en-US" w:eastAsia="zh-CN"/>
        </w:rPr>
        <w:t>φ500水泥搅拌桩，采用</w:t>
      </w:r>
      <w:r>
        <w:rPr>
          <w:rFonts w:hint="eastAsia" w:ascii="宋体" w:hAnsi="宋体"/>
          <w:color w:val="auto"/>
        </w:rPr>
        <w:t>复合地基承载力（承载力特征力fspk=120kPa）</w:t>
      </w:r>
      <w:r>
        <w:rPr>
          <w:rFonts w:hint="eastAsia" w:ascii="宋体" w:hAnsi="宋体"/>
          <w:color w:val="auto"/>
          <w:lang w:val="en-US" w:eastAsia="zh-CN"/>
        </w:rPr>
        <w:t>约45根</w:t>
      </w:r>
      <w:r>
        <w:rPr>
          <w:rFonts w:hint="eastAsia" w:ascii="宋体" w:hAnsi="宋体"/>
          <w:color w:val="auto"/>
          <w:lang w:eastAsia="zh-CN"/>
        </w:rPr>
        <w:t>，</w:t>
      </w:r>
      <w:r>
        <w:rPr>
          <w:rFonts w:hint="eastAsia" w:ascii="宋体" w:hAnsi="宋体"/>
          <w:color w:val="auto"/>
        </w:rPr>
        <w:t>单桩荷载试验（单桩承载力特征值≥120KN）</w:t>
      </w:r>
      <w:r>
        <w:rPr>
          <w:rFonts w:hint="eastAsia" w:ascii="宋体" w:hAnsi="宋体"/>
          <w:color w:val="auto"/>
          <w:lang w:eastAsia="zh-CN"/>
        </w:rPr>
        <w:t>约</w:t>
      </w:r>
      <w:r>
        <w:rPr>
          <w:rFonts w:hint="eastAsia" w:ascii="宋体" w:hAnsi="宋体"/>
          <w:color w:val="auto"/>
          <w:lang w:val="en-US" w:eastAsia="zh-CN"/>
        </w:rPr>
        <w:t>20根。</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rPr>
      </w:pPr>
      <w:r>
        <w:rPr>
          <w:rFonts w:hint="eastAsia" w:ascii="宋体" w:hAnsi="宋体"/>
          <w:color w:val="auto"/>
        </w:rPr>
        <w:t>开工日期：202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04</w:t>
      </w:r>
      <w:r>
        <w:rPr>
          <w:rFonts w:hint="eastAsia" w:ascii="宋体" w:hAnsi="宋体"/>
          <w:color w:val="auto"/>
        </w:rPr>
        <w:t>月</w:t>
      </w:r>
      <w:r>
        <w:rPr>
          <w:rFonts w:hint="eastAsia" w:ascii="宋体" w:hAnsi="宋体"/>
          <w:color w:val="auto"/>
          <w:lang w:val="en-US" w:eastAsia="zh-CN"/>
        </w:rPr>
        <w:t>30</w:t>
      </w:r>
      <w:r>
        <w:rPr>
          <w:rFonts w:hint="eastAsia" w:ascii="宋体" w:hAnsi="宋体"/>
          <w:color w:val="auto"/>
        </w:rPr>
        <w:t xml:space="preserve">日（暂定）                                          </w:t>
      </w:r>
    </w:p>
    <w:p>
      <w:pPr>
        <w:spacing w:line="360" w:lineRule="auto"/>
        <w:rPr>
          <w:rFonts w:hint="eastAsia" w:ascii="宋体" w:hAnsi="宋体"/>
          <w:color w:val="auto"/>
        </w:rPr>
      </w:pPr>
      <w:r>
        <w:rPr>
          <w:rFonts w:hint="eastAsia" w:ascii="宋体" w:hAnsi="宋体"/>
          <w:color w:val="auto"/>
        </w:rPr>
        <w:t>竣工日期：202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05</w:t>
      </w:r>
      <w:r>
        <w:rPr>
          <w:rFonts w:hint="eastAsia" w:ascii="宋体" w:hAnsi="宋体"/>
          <w:color w:val="auto"/>
        </w:rPr>
        <w:t>月</w:t>
      </w:r>
      <w:r>
        <w:rPr>
          <w:rFonts w:hint="eastAsia" w:ascii="宋体" w:hAnsi="宋体"/>
          <w:color w:val="auto"/>
          <w:lang w:val="en-US" w:eastAsia="zh-CN"/>
        </w:rPr>
        <w:t>30</w:t>
      </w:r>
      <w:r>
        <w:rPr>
          <w:rFonts w:hint="eastAsia" w:ascii="宋体" w:hAnsi="宋体"/>
          <w:color w:val="auto"/>
        </w:rPr>
        <w:t xml:space="preserve">日                                              </w:t>
      </w:r>
    </w:p>
    <w:p>
      <w:pPr>
        <w:spacing w:line="360" w:lineRule="auto"/>
        <w:rPr>
          <w:rFonts w:ascii="宋体" w:hAnsi="宋体"/>
          <w:color w:val="auto"/>
        </w:rPr>
      </w:pPr>
      <w:r>
        <w:rPr>
          <w:rFonts w:hint="eastAsia" w:ascii="宋体" w:hAnsi="宋体"/>
          <w:color w:val="auto"/>
        </w:rPr>
        <w:t>合同工期总日历天数</w:t>
      </w:r>
      <w:r>
        <w:rPr>
          <w:rFonts w:hint="eastAsia" w:ascii="宋体" w:hAnsi="宋体"/>
          <w:color w:val="auto"/>
          <w:lang w:val="en-US" w:eastAsia="zh-CN"/>
        </w:rPr>
        <w:t xml:space="preserve"> 30</w:t>
      </w:r>
      <w:r>
        <w:rPr>
          <w:rFonts w:hint="eastAsia" w:ascii="宋体" w:hAnsi="宋体"/>
          <w:color w:val="auto"/>
        </w:rPr>
        <w:t>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numPr>
          <w:ilvl w:val="0"/>
          <w:numId w:val="2"/>
        </w:numPr>
        <w:spacing w:line="360" w:lineRule="exact"/>
        <w:rPr>
          <w:rFonts w:hint="eastAsia" w:ascii="宋体" w:hAnsi="宋体"/>
          <w:color w:val="auto"/>
        </w:rPr>
      </w:pPr>
      <w:r>
        <w:rPr>
          <w:rFonts w:hint="eastAsia" w:ascii="宋体" w:hAnsi="宋体"/>
          <w:color w:val="auto"/>
        </w:rPr>
        <w:t>本桩基检测工程按照含税综合单价方式进行报价。</w:t>
      </w:r>
    </w:p>
    <w:p>
      <w:pPr>
        <w:numPr>
          <w:ilvl w:val="0"/>
          <w:numId w:val="2"/>
        </w:numPr>
        <w:spacing w:line="360" w:lineRule="exact"/>
        <w:ind w:left="0" w:leftChars="0" w:firstLine="0" w:firstLineChars="0"/>
        <w:rPr>
          <w:rFonts w:hint="eastAsia" w:ascii="宋体" w:hAnsi="宋体"/>
          <w:color w:val="auto"/>
          <w:lang w:val="en-US" w:eastAsia="zh-CN"/>
        </w:rPr>
      </w:pPr>
      <w:r>
        <w:rPr>
          <w:rFonts w:hint="eastAsia" w:ascii="宋体" w:hAnsi="宋体"/>
          <w:color w:val="auto"/>
        </w:rPr>
        <w:t>结算审核后承包人及时向发包人开具全额增值税专用发票，开具增值税发票执行6%税率</w:t>
      </w:r>
      <w:r>
        <w:rPr>
          <w:rFonts w:hint="eastAsia" w:ascii="宋体" w:hAnsi="宋体"/>
          <w:color w:val="auto"/>
          <w:lang w:val="en-US" w:eastAsia="zh-CN"/>
        </w:rPr>
        <w:t>。</w:t>
      </w:r>
    </w:p>
    <w:p>
      <w:pPr>
        <w:keepNext w:val="0"/>
        <w:keepLines w:val="0"/>
        <w:widowControl/>
        <w:numPr>
          <w:numId w:val="0"/>
        </w:numPr>
        <w:suppressLineNumbers w:val="0"/>
        <w:ind w:leftChars="0"/>
        <w:jc w:val="left"/>
        <w:rPr>
          <w:rFonts w:ascii="宋体" w:hAnsi="宋体"/>
          <w:bCs/>
          <w:color w:val="auto"/>
        </w:rPr>
      </w:pPr>
      <w:r>
        <w:rPr>
          <w:rFonts w:hint="eastAsia" w:ascii="宋体" w:hAnsi="宋体" w:cs="宋体"/>
          <w:bCs/>
          <w:strike w:val="0"/>
          <w:dstrike w:val="0"/>
          <w:color w:val="FF0000"/>
          <w:lang w:val="en-US" w:eastAsia="zh-CN"/>
        </w:rPr>
        <w:t>3.本项目为公开招标，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承包人向工程师提交已完工程量报告的时间：</w:t>
      </w:r>
      <w:r>
        <w:rPr>
          <w:rFonts w:hint="eastAsia" w:ascii="宋体" w:hAnsi="宋体" w:cs="宋体" w:eastAsiaTheme="minorEastAsia"/>
          <w:color w:val="auto"/>
          <w:kern w:val="2"/>
          <w:sz w:val="21"/>
          <w:szCs w:val="22"/>
          <w:lang w:val="en-US" w:eastAsia="zh-CN" w:bidi="ar-SA"/>
        </w:rPr>
        <w:t>承包人每月20日前向发包人代表提交已完工程量报告，发包人代表收到报告后5日内审核完毕。</w:t>
      </w:r>
    </w:p>
    <w:p>
      <w:pPr>
        <w:widowControl/>
        <w:spacing w:before="156" w:beforeLines="50" w:after="156" w:afterLines="50"/>
        <w:rPr>
          <w:rFonts w:hint="eastAsia" w:ascii="宋体" w:hAnsi="宋体" w:cs="宋体"/>
          <w:color w:val="auto"/>
          <w:lang w:val="en-US" w:eastAsia="zh-CN"/>
        </w:rPr>
      </w:pPr>
      <w:r>
        <w:rPr>
          <w:rFonts w:hint="eastAsia" w:ascii="宋体" w:hAnsi="宋体" w:cs="宋体" w:eastAsiaTheme="minorEastAsia"/>
          <w:color w:val="auto"/>
          <w:kern w:val="2"/>
          <w:sz w:val="21"/>
          <w:szCs w:val="22"/>
          <w:lang w:val="en-US" w:eastAsia="zh-CN" w:bidi="ar-SA"/>
        </w:rPr>
        <w:t>2．双方约定的工程款（进度款）支付的方式：</w:t>
      </w:r>
      <w:r>
        <w:rPr>
          <w:rFonts w:hint="eastAsia" w:ascii="宋体" w:hAnsi="宋体" w:cs="宋体"/>
          <w:color w:val="auto"/>
        </w:rPr>
        <w:t>银行现汇支付。承包人完成桩基检测工作，出正式的检测报告后支付全部检测费用</w:t>
      </w:r>
      <w:r>
        <w:rPr>
          <w:rFonts w:hint="eastAsia" w:ascii="宋体" w:hAnsi="宋体" w:cs="宋体"/>
          <w:color w:val="auto"/>
          <w:lang w:eastAsia="zh-CN"/>
        </w:rPr>
        <w:t>，付款前提供等额增值税专用发票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p>
      <w:pPr>
        <w:spacing w:line="300" w:lineRule="auto"/>
        <w:jc w:val="center"/>
        <w:rPr>
          <w:rFonts w:ascii="宋体" w:hAnsi="宋体"/>
          <w:b/>
          <w:bCs/>
          <w:sz w:val="36"/>
          <w:szCs w:val="36"/>
          <w:highlight w:val="none"/>
        </w:rPr>
      </w:pPr>
      <w:r>
        <w:rPr>
          <w:rFonts w:hint="eastAsia" w:ascii="宋体" w:hAnsi="宋体"/>
          <w:b/>
          <w:bCs/>
          <w:sz w:val="36"/>
          <w:szCs w:val="36"/>
          <w:highlight w:val="none"/>
          <w:u w:val="single"/>
        </w:rPr>
        <w:t xml:space="preserve"> </w:t>
      </w:r>
      <w:r>
        <w:rPr>
          <w:rFonts w:hint="eastAsia" w:ascii="宋体" w:hAnsi="宋体"/>
          <w:b/>
          <w:bCs/>
          <w:sz w:val="36"/>
          <w:szCs w:val="36"/>
          <w:highlight w:val="none"/>
          <w:u w:val="single"/>
          <w:lang w:val="en-US" w:eastAsia="zh-CN"/>
        </w:rPr>
        <w:t>铸管部DN80-600特喷线设备基础桩基检测项目</w:t>
      </w:r>
      <w:bookmarkStart w:id="3" w:name="_GoBack"/>
      <w:bookmarkEnd w:id="3"/>
      <w:r>
        <w:rPr>
          <w:rFonts w:hint="eastAsia" w:ascii="宋体" w:hAnsi="宋体"/>
          <w:b/>
          <w:bCs/>
          <w:sz w:val="36"/>
          <w:szCs w:val="36"/>
          <w:highlight w:val="none"/>
          <w:u w:val="single"/>
        </w:rPr>
        <w:t xml:space="preserve"> </w:t>
      </w:r>
      <w:r>
        <w:rPr>
          <w:rFonts w:hint="eastAsia" w:ascii="宋体" w:hAnsi="宋体"/>
          <w:b/>
          <w:bCs/>
          <w:sz w:val="36"/>
          <w:szCs w:val="36"/>
          <w:highlight w:val="none"/>
          <w:lang w:val="en-US" w:eastAsia="zh-CN"/>
        </w:rPr>
        <w:t>报价</w:t>
      </w:r>
      <w:r>
        <w:rPr>
          <w:rFonts w:hint="eastAsia" w:ascii="宋体" w:hAnsi="宋体"/>
          <w:b/>
          <w:bCs/>
          <w:sz w:val="36"/>
          <w:szCs w:val="36"/>
          <w:highlight w:val="none"/>
        </w:rPr>
        <w:t>单</w:t>
      </w:r>
    </w:p>
    <w:tbl>
      <w:tblPr>
        <w:tblStyle w:val="13"/>
        <w:tblpPr w:leftFromText="180" w:rightFromText="180" w:vertAnchor="text" w:horzAnchor="page" w:tblpX="1071" w:tblpY="171"/>
        <w:tblOverlap w:val="never"/>
        <w:tblW w:w="4865"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91"/>
        <w:gridCol w:w="2157"/>
        <w:gridCol w:w="835"/>
        <w:gridCol w:w="1082"/>
        <w:gridCol w:w="1029"/>
        <w:gridCol w:w="889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49" w:hRule="atLeast"/>
        </w:trPr>
        <w:tc>
          <w:tcPr>
            <w:tcW w:w="791" w:type="dxa"/>
            <w:tcBorders>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highlight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2157"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highlight w:val="none"/>
              </w:rPr>
            </w:pPr>
            <w:r>
              <w:rPr>
                <w:rFonts w:hint="eastAsia" w:ascii="宋体" w:hAnsi="宋体" w:eastAsia="宋体" w:cs="宋体"/>
                <w:b/>
                <w:bCs/>
                <w:i w:val="0"/>
                <w:iCs w:val="0"/>
                <w:color w:val="000000"/>
                <w:kern w:val="0"/>
                <w:sz w:val="22"/>
                <w:szCs w:val="22"/>
                <w:highlight w:val="none"/>
                <w:u w:val="none"/>
                <w:lang w:val="en-US" w:eastAsia="zh-CN" w:bidi="ar"/>
              </w:rPr>
              <w:t>分项名称</w:t>
            </w:r>
          </w:p>
        </w:tc>
        <w:tc>
          <w:tcPr>
            <w:tcW w:w="835"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图号</w:t>
            </w:r>
          </w:p>
        </w:tc>
        <w:tc>
          <w:tcPr>
            <w:tcW w:w="1082"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highlight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c>
          <w:tcPr>
            <w:tcW w:w="1029"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highlight w:val="none"/>
              </w:rPr>
            </w:pPr>
            <w:r>
              <w:rPr>
                <w:rFonts w:hint="eastAsia" w:ascii="宋体" w:hAnsi="宋体" w:eastAsia="宋体" w:cs="宋体"/>
                <w:b/>
                <w:bCs/>
                <w:i w:val="0"/>
                <w:iCs w:val="0"/>
                <w:color w:val="000000"/>
                <w:kern w:val="0"/>
                <w:sz w:val="22"/>
                <w:szCs w:val="22"/>
                <w:highlight w:val="none"/>
                <w:u w:val="none"/>
                <w:lang w:val="en-US" w:eastAsia="zh-CN" w:bidi="ar"/>
              </w:rPr>
              <w:t>暂估工程量</w:t>
            </w:r>
          </w:p>
        </w:tc>
        <w:tc>
          <w:tcPr>
            <w:tcW w:w="8893" w:type="dxa"/>
            <w:tcBorders>
              <w:left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工作内容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263" w:hRule="atLeast"/>
        </w:trPr>
        <w:tc>
          <w:tcPr>
            <w:tcW w:w="791"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2157"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22"/>
                <w:szCs w:val="22"/>
                <w:highlight w:val="none"/>
              </w:rPr>
            </w:pPr>
            <w:r>
              <w:rPr>
                <w:rFonts w:hint="eastAsia" w:ascii="宋体" w:hAnsi="宋体" w:cs="宋体"/>
                <w:color w:val="000000"/>
                <w:kern w:val="0"/>
                <w:sz w:val="24"/>
                <w:szCs w:val="24"/>
              </w:rPr>
              <w:t>复合地基承载力（承载力特征力fspk=120kPa）</w:t>
            </w:r>
          </w:p>
        </w:tc>
        <w:tc>
          <w:tcPr>
            <w:tcW w:w="835" w:type="dxa"/>
            <w:vMerge w:val="restart"/>
            <w:tcBorders>
              <w:top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无</w:t>
            </w:r>
          </w:p>
        </w:tc>
        <w:tc>
          <w:tcPr>
            <w:tcW w:w="1082"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根</w:t>
            </w:r>
          </w:p>
        </w:tc>
        <w:tc>
          <w:tcPr>
            <w:tcW w:w="102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47</w:t>
            </w:r>
          </w:p>
        </w:tc>
        <w:tc>
          <w:tcPr>
            <w:tcW w:w="8893"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拦标价：</w:t>
            </w:r>
            <w:r>
              <w:rPr>
                <w:rFonts w:hint="eastAsia" w:ascii="宋体" w:hAnsi="宋体" w:cs="宋体"/>
                <w:i w:val="0"/>
                <w:iCs w:val="0"/>
                <w:color w:val="auto"/>
                <w:kern w:val="0"/>
                <w:sz w:val="22"/>
                <w:szCs w:val="22"/>
                <w:highlight w:val="none"/>
                <w:u w:val="none"/>
                <w:lang w:val="en-US" w:eastAsia="zh-CN" w:bidi="ar"/>
              </w:rPr>
              <w:t>3200</w:t>
            </w:r>
            <w:r>
              <w:rPr>
                <w:rFonts w:hint="eastAsia" w:ascii="宋体" w:hAnsi="宋体" w:eastAsia="宋体" w:cs="宋体"/>
                <w:i w:val="0"/>
                <w:iCs w:val="0"/>
                <w:color w:val="auto"/>
                <w:kern w:val="0"/>
                <w:sz w:val="22"/>
                <w:szCs w:val="22"/>
                <w:highlight w:val="none"/>
                <w:u w:val="none"/>
                <w:lang w:val="en-US" w:eastAsia="zh-CN" w:bidi="ar"/>
              </w:rPr>
              <w:t>元/根。包括加载、卸载、记录、数据分析、报告编写</w:t>
            </w:r>
            <w:r>
              <w:rPr>
                <w:rFonts w:hint="eastAsia" w:ascii="宋体" w:hAnsi="宋体" w:eastAsia="宋体" w:cs="宋体"/>
                <w:i w:val="0"/>
                <w:iCs w:val="0"/>
                <w:color w:val="auto"/>
                <w:kern w:val="0"/>
                <w:sz w:val="21"/>
                <w:szCs w:val="21"/>
                <w:u w:val="none"/>
                <w:lang w:val="en-US" w:eastAsia="zh-CN" w:bidi="ar"/>
              </w:rPr>
              <w:t>等工序的人工费、材料费、机械费、水电费、税金等所有费用</w:t>
            </w:r>
            <w:r>
              <w:rPr>
                <w:rFonts w:hint="eastAsia"/>
                <w:color w:val="auto"/>
                <w:kern w:val="0"/>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74" w:hRule="atLeast"/>
        </w:trPr>
        <w:tc>
          <w:tcPr>
            <w:tcW w:w="791"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2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highlight w:val="none"/>
                <w:lang w:bidi="ar"/>
              </w:rPr>
            </w:pPr>
            <w:r>
              <w:rPr>
                <w:rFonts w:hint="eastAsia" w:ascii="宋体" w:hAnsi="宋体" w:cs="宋体"/>
                <w:color w:val="000000"/>
                <w:kern w:val="0"/>
                <w:sz w:val="24"/>
                <w:szCs w:val="24"/>
              </w:rPr>
              <w:t>单桩荷载试验（单桩承载力特征值≥120KN）</w:t>
            </w:r>
          </w:p>
        </w:tc>
        <w:tc>
          <w:tcPr>
            <w:tcW w:w="835" w:type="dxa"/>
            <w:vMerge w:val="continue"/>
            <w:tcBorders>
              <w:right w:val="single" w:color="auto" w:sz="4" w:space="0"/>
            </w:tcBorders>
            <w:vAlign w:val="center"/>
          </w:tcPr>
          <w:p>
            <w:pPr>
              <w:jc w:val="center"/>
              <w:rPr>
                <w:rFonts w:hint="eastAsia" w:ascii="宋体" w:hAnsi="宋体" w:eastAsia="宋体" w:cs="宋体"/>
                <w:i w:val="0"/>
                <w:color w:val="000000"/>
                <w:kern w:val="0"/>
                <w:sz w:val="22"/>
                <w:szCs w:val="22"/>
                <w:highlight w:val="none"/>
                <w:u w:val="none"/>
                <w:lang w:val="en-US" w:eastAsia="zh-CN" w:bidi="ar"/>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根</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val="en-US" w:bidi="ar"/>
              </w:rPr>
            </w:pPr>
            <w:r>
              <w:rPr>
                <w:rFonts w:hint="eastAsia" w:ascii="宋体" w:hAnsi="宋体" w:cs="宋体"/>
                <w:i w:val="0"/>
                <w:iCs w:val="0"/>
                <w:color w:val="000000"/>
                <w:kern w:val="0"/>
                <w:sz w:val="22"/>
                <w:szCs w:val="22"/>
                <w:highlight w:val="none"/>
                <w:u w:val="none"/>
                <w:lang w:val="en-US" w:eastAsia="zh-CN" w:bidi="ar"/>
              </w:rPr>
              <w:t>20</w:t>
            </w:r>
          </w:p>
        </w:tc>
        <w:tc>
          <w:tcPr>
            <w:tcW w:w="8893" w:type="dxa"/>
            <w:tcBorders>
              <w:top w:val="single" w:color="auto" w:sz="4" w:space="0"/>
              <w:left w:val="single" w:color="auto" w:sz="4" w:space="0"/>
              <w:bottom w:val="single" w:color="auto" w:sz="4" w:space="0"/>
            </w:tcBorders>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拦标价：</w:t>
            </w:r>
            <w:r>
              <w:rPr>
                <w:rFonts w:hint="eastAsia" w:ascii="宋体" w:hAnsi="宋体" w:cs="宋体"/>
                <w:i w:val="0"/>
                <w:iCs w:val="0"/>
                <w:color w:val="auto"/>
                <w:kern w:val="0"/>
                <w:sz w:val="22"/>
                <w:szCs w:val="22"/>
                <w:highlight w:val="none"/>
                <w:u w:val="none"/>
                <w:lang w:val="en-US" w:eastAsia="zh-CN" w:bidi="ar"/>
              </w:rPr>
              <w:t>3200</w:t>
            </w:r>
            <w:r>
              <w:rPr>
                <w:rFonts w:hint="eastAsia" w:ascii="宋体" w:hAnsi="宋体" w:eastAsia="宋体" w:cs="宋体"/>
                <w:i w:val="0"/>
                <w:iCs w:val="0"/>
                <w:color w:val="auto"/>
                <w:kern w:val="0"/>
                <w:sz w:val="22"/>
                <w:szCs w:val="22"/>
                <w:u w:val="none"/>
                <w:lang w:val="en-US" w:eastAsia="zh-CN" w:bidi="ar"/>
              </w:rPr>
              <w:t>元/</w:t>
            </w:r>
            <w:r>
              <w:rPr>
                <w:rFonts w:hint="eastAsia" w:ascii="宋体" w:hAnsi="宋体" w:cs="宋体"/>
                <w:i w:val="0"/>
                <w:iCs w:val="0"/>
                <w:color w:val="auto"/>
                <w:kern w:val="0"/>
                <w:sz w:val="22"/>
                <w:szCs w:val="22"/>
                <w:u w:val="none"/>
                <w:lang w:val="en-US" w:eastAsia="zh-CN" w:bidi="ar"/>
              </w:rPr>
              <w:t>根</w:t>
            </w:r>
            <w:r>
              <w:rPr>
                <w:rFonts w:hint="eastAsia" w:ascii="宋体" w:hAnsi="宋体" w:eastAsia="宋体" w:cs="宋体"/>
                <w:i w:val="0"/>
                <w:iCs w:val="0"/>
                <w:color w:val="auto"/>
                <w:kern w:val="0"/>
                <w:sz w:val="22"/>
                <w:szCs w:val="22"/>
                <w:highlight w:val="none"/>
                <w:u w:val="none"/>
                <w:lang w:val="en-US" w:eastAsia="zh-CN" w:bidi="ar"/>
              </w:rPr>
              <w:t>。包括加载、卸载、记录、数据分析、报告编写</w:t>
            </w:r>
            <w:r>
              <w:rPr>
                <w:rFonts w:hint="eastAsia" w:ascii="宋体" w:hAnsi="宋体" w:eastAsia="宋体" w:cs="宋体"/>
                <w:i w:val="0"/>
                <w:iCs w:val="0"/>
                <w:color w:val="auto"/>
                <w:kern w:val="0"/>
                <w:sz w:val="21"/>
                <w:szCs w:val="21"/>
                <w:u w:val="none"/>
                <w:lang w:val="en-US" w:eastAsia="zh-CN" w:bidi="ar"/>
              </w:rPr>
              <w:t>等工序的人工费、材料费、机械费、水电费、税金等所有费用</w:t>
            </w:r>
            <w:r>
              <w:rPr>
                <w:rFonts w:hint="eastAsia"/>
                <w:color w:val="auto"/>
                <w:kern w:val="0"/>
                <w:szCs w:val="21"/>
                <w:lang w:eastAsia="zh-CN"/>
              </w:rPr>
              <w:t>。</w:t>
            </w:r>
          </w:p>
        </w:tc>
      </w:tr>
    </w:tbl>
    <w:p>
      <w:pPr>
        <w:tabs>
          <w:tab w:val="left" w:pos="720"/>
          <w:tab w:val="left" w:pos="7200"/>
        </w:tabs>
        <w:snapToGrid w:val="0"/>
        <w:spacing w:line="240" w:lineRule="auto"/>
        <w:ind w:firstLine="181" w:firstLineChars="100"/>
        <w:rPr>
          <w:b/>
          <w:color w:val="auto"/>
          <w:sz w:val="18"/>
          <w:szCs w:val="18"/>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532887698"/>
      <w:bookmarkStart w:id="1" w:name="_Toc15231775"/>
      <w:bookmarkStart w:id="2" w:name="_Toc15291886"/>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91887C"/>
    <w:multiLevelType w:val="singleLevel"/>
    <w:tmpl w:val="CD91887C"/>
    <w:lvl w:ilvl="0" w:tentative="0">
      <w:start w:val="1"/>
      <w:numFmt w:val="decimal"/>
      <w:suff w:val="space"/>
      <w:lvlText w:val="%1."/>
      <w:lvlJc w:val="left"/>
    </w:lvl>
  </w:abstractNum>
  <w:abstractNum w:abstractNumId="1">
    <w:nsid w:val="D639B689"/>
    <w:multiLevelType w:val="singleLevel"/>
    <w:tmpl w:val="D639B689"/>
    <w:lvl w:ilvl="0" w:tentative="0">
      <w:start w:val="1"/>
      <w:numFmt w:val="decimal"/>
      <w:suff w:val="nothing"/>
      <w:lvlText w:val="%1、"/>
      <w:lvlJc w:val="left"/>
      <w:pPr>
        <w:ind w:left="0" w:firstLine="0"/>
      </w:pPr>
    </w:lvl>
  </w:abstractNum>
  <w:abstractNum w:abstractNumId="2">
    <w:nsid w:val="FCD221E2"/>
    <w:multiLevelType w:val="singleLevel"/>
    <w:tmpl w:val="FCD221E2"/>
    <w:lvl w:ilvl="0" w:tentative="0">
      <w:start w:val="11"/>
      <w:numFmt w:val="chineseCounting"/>
      <w:suff w:val="nothing"/>
      <w:lvlText w:val="%1、"/>
      <w:lvlJc w:val="left"/>
      <w:rPr>
        <w:rFonts w:hint="eastAsia"/>
      </w:rPr>
    </w:lvl>
  </w:abstractNum>
  <w:abstractNum w:abstractNumId="3">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4">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5">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6">
    <w:nsid w:val="2A3C6F81"/>
    <w:multiLevelType w:val="singleLevel"/>
    <w:tmpl w:val="2A3C6F81"/>
    <w:lvl w:ilvl="0" w:tentative="0">
      <w:start w:val="1"/>
      <w:numFmt w:val="decimal"/>
      <w:lvlText w:val="%1."/>
      <w:lvlJc w:val="left"/>
      <w:pPr>
        <w:ind w:left="425" w:hanging="425"/>
      </w:pPr>
      <w:rPr>
        <w:rFonts w:hint="default"/>
      </w:rPr>
    </w:lvl>
  </w:abstractNum>
  <w:abstractNum w:abstractNumId="7">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0"/>
  </w:num>
  <w:num w:numId="3">
    <w:abstractNumId w:val="5"/>
  </w:num>
  <w:num w:numId="4">
    <w:abstractNumId w:val="3"/>
  </w:num>
  <w:num w:numId="5">
    <w:abstractNumId w:val="6"/>
  </w:num>
  <w:num w:numId="6">
    <w:abstractNumId w:val="2"/>
  </w:num>
  <w:num w:numId="7">
    <w:abstractNumId w:val="1"/>
    <w:lvlOverride w:ilvl="0">
      <w:startOverride w:val="1"/>
    </w:lvlOverride>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17F6BAC"/>
    <w:rsid w:val="03175A1E"/>
    <w:rsid w:val="03CC35F1"/>
    <w:rsid w:val="03E436D3"/>
    <w:rsid w:val="0423636D"/>
    <w:rsid w:val="05F62028"/>
    <w:rsid w:val="083D3F56"/>
    <w:rsid w:val="08806402"/>
    <w:rsid w:val="08CA7F4E"/>
    <w:rsid w:val="0A01470F"/>
    <w:rsid w:val="0A047221"/>
    <w:rsid w:val="0A0901C8"/>
    <w:rsid w:val="0B4A7DF3"/>
    <w:rsid w:val="0BB21CA6"/>
    <w:rsid w:val="0DFC1491"/>
    <w:rsid w:val="0E4F2C23"/>
    <w:rsid w:val="0F454D3F"/>
    <w:rsid w:val="104501EF"/>
    <w:rsid w:val="121B22D6"/>
    <w:rsid w:val="133E6E16"/>
    <w:rsid w:val="13B43725"/>
    <w:rsid w:val="140F383A"/>
    <w:rsid w:val="14197C48"/>
    <w:rsid w:val="1A33768E"/>
    <w:rsid w:val="1B0616D0"/>
    <w:rsid w:val="1C7E1688"/>
    <w:rsid w:val="1C8160E7"/>
    <w:rsid w:val="1CAB7BE0"/>
    <w:rsid w:val="1DC136C9"/>
    <w:rsid w:val="1E037CB3"/>
    <w:rsid w:val="214D2E1E"/>
    <w:rsid w:val="21D2437C"/>
    <w:rsid w:val="21F73AF2"/>
    <w:rsid w:val="23883F50"/>
    <w:rsid w:val="24AC15A9"/>
    <w:rsid w:val="24C93CD8"/>
    <w:rsid w:val="24E835CF"/>
    <w:rsid w:val="27B106C3"/>
    <w:rsid w:val="282A37D0"/>
    <w:rsid w:val="28754C22"/>
    <w:rsid w:val="29466B59"/>
    <w:rsid w:val="29AB06DF"/>
    <w:rsid w:val="29EF4459"/>
    <w:rsid w:val="2A62363C"/>
    <w:rsid w:val="2AFF2879"/>
    <w:rsid w:val="2C604D81"/>
    <w:rsid w:val="2CA46661"/>
    <w:rsid w:val="2FFE36B1"/>
    <w:rsid w:val="310A5319"/>
    <w:rsid w:val="326329B3"/>
    <w:rsid w:val="34481C4C"/>
    <w:rsid w:val="364C51F0"/>
    <w:rsid w:val="37CA36AB"/>
    <w:rsid w:val="386D04A2"/>
    <w:rsid w:val="38B06070"/>
    <w:rsid w:val="39913532"/>
    <w:rsid w:val="3A100A0A"/>
    <w:rsid w:val="3A9E2574"/>
    <w:rsid w:val="3B9F0063"/>
    <w:rsid w:val="3C062CAD"/>
    <w:rsid w:val="3D4C3271"/>
    <w:rsid w:val="3D5977E3"/>
    <w:rsid w:val="400A7CF7"/>
    <w:rsid w:val="40A32F20"/>
    <w:rsid w:val="42B5472A"/>
    <w:rsid w:val="467B56CD"/>
    <w:rsid w:val="47807B49"/>
    <w:rsid w:val="4786146B"/>
    <w:rsid w:val="48664A2F"/>
    <w:rsid w:val="49806F97"/>
    <w:rsid w:val="4A1D777A"/>
    <w:rsid w:val="4BEB70CE"/>
    <w:rsid w:val="4C2439BA"/>
    <w:rsid w:val="4C6D4D7D"/>
    <w:rsid w:val="4C6F1F1E"/>
    <w:rsid w:val="4CC46B42"/>
    <w:rsid w:val="4EF83610"/>
    <w:rsid w:val="4F214CC8"/>
    <w:rsid w:val="4FC1072C"/>
    <w:rsid w:val="51C85998"/>
    <w:rsid w:val="526A207D"/>
    <w:rsid w:val="53966193"/>
    <w:rsid w:val="54DA0463"/>
    <w:rsid w:val="558D3BDC"/>
    <w:rsid w:val="56266223"/>
    <w:rsid w:val="56F435CB"/>
    <w:rsid w:val="57181B7C"/>
    <w:rsid w:val="579A163B"/>
    <w:rsid w:val="58251DDC"/>
    <w:rsid w:val="58F51143"/>
    <w:rsid w:val="5953468B"/>
    <w:rsid w:val="59677B0A"/>
    <w:rsid w:val="59A06F0E"/>
    <w:rsid w:val="5A971EF5"/>
    <w:rsid w:val="5ACF5D45"/>
    <w:rsid w:val="5C515AA2"/>
    <w:rsid w:val="5CA97B29"/>
    <w:rsid w:val="5D634D0C"/>
    <w:rsid w:val="5E513B46"/>
    <w:rsid w:val="5F533CAB"/>
    <w:rsid w:val="60692660"/>
    <w:rsid w:val="607B250C"/>
    <w:rsid w:val="62B532A4"/>
    <w:rsid w:val="65100BCA"/>
    <w:rsid w:val="66296C18"/>
    <w:rsid w:val="67B90FFF"/>
    <w:rsid w:val="67E85B48"/>
    <w:rsid w:val="68BB783B"/>
    <w:rsid w:val="6998730F"/>
    <w:rsid w:val="6BFA79CF"/>
    <w:rsid w:val="6CDE16B5"/>
    <w:rsid w:val="6DF65BBA"/>
    <w:rsid w:val="6EE72E54"/>
    <w:rsid w:val="6F286C4E"/>
    <w:rsid w:val="711D243B"/>
    <w:rsid w:val="71A34979"/>
    <w:rsid w:val="7220730D"/>
    <w:rsid w:val="724E1F86"/>
    <w:rsid w:val="72FE5A07"/>
    <w:rsid w:val="73F30113"/>
    <w:rsid w:val="7481717E"/>
    <w:rsid w:val="74E73BF7"/>
    <w:rsid w:val="75037D3A"/>
    <w:rsid w:val="765207B1"/>
    <w:rsid w:val="77676C2F"/>
    <w:rsid w:val="782F64FC"/>
    <w:rsid w:val="7A1268BD"/>
    <w:rsid w:val="7A471BC2"/>
    <w:rsid w:val="7BBC59D1"/>
    <w:rsid w:val="7C3074C7"/>
    <w:rsid w:val="7CE2425C"/>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6079</Words>
  <Characters>6439</Characters>
  <Lines>80</Lines>
  <Paragraphs>22</Paragraphs>
  <TotalTime>1</TotalTime>
  <ScaleCrop>false</ScaleCrop>
  <LinksUpToDate>false</LinksUpToDate>
  <CharactersWithSpaces>6841</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2022-04-12T08:54:46Z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9C715AAECA884F55A9461866D6FA45E2</vt:lpwstr>
  </property>
</Properties>
</file>