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bookmarkStart w:id="3" w:name="_GoBack"/>
      <w:r>
        <w:rPr>
          <w:rFonts w:hint="eastAsia" w:ascii="宋体" w:hAnsi="宋体"/>
          <w:color w:val="auto"/>
          <w:sz w:val="36"/>
          <w:szCs w:val="32"/>
          <w:lang w:eastAsia="zh-CN"/>
        </w:rPr>
        <w:t>烧结消防隐患整改工程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消防设施专业承包</w:t>
      </w:r>
      <w:r>
        <w:rPr>
          <w:rFonts w:hint="eastAsia"/>
          <w:color w:val="FF0000"/>
          <w:sz w:val="24"/>
          <w:szCs w:val="24"/>
          <w:u w:val="none"/>
          <w:lang w:val="en-US" w:eastAsia="zh-CN"/>
        </w:rPr>
        <w:t>贰</w:t>
      </w:r>
      <w:r>
        <w:rPr>
          <w:rFonts w:hint="eastAsia"/>
          <w:color w:val="FF0000"/>
          <w:sz w:val="24"/>
          <w:szCs w:val="24"/>
          <w:u w:val="none"/>
        </w:rPr>
        <w:t>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04</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烧结消防隐患整改工程项目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烧结消防隐患整改工程项目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包含：烧结脱硫脱硝、配料仓、一期烧结楼、原料等区域消防水隐患整改等</w:t>
      </w:r>
      <w:r>
        <w:rPr>
          <w:rFonts w:hint="eastAsia" w:ascii="宋体" w:hAnsi="宋体"/>
          <w:color w:val="auto"/>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06</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75</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阀门、消火栓(箱)由发包人提供，其他所有材料由承包人提供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0"/>
        </w:numPr>
        <w:spacing w:before="156" w:beforeLines="50" w:after="156" w:afterLines="50"/>
        <w:ind w:leftChars="0"/>
        <w:rPr>
          <w:rFonts w:hint="eastAsia" w:ascii="宋体" w:hAnsi="宋体" w:eastAsiaTheme="minorEastAsia" w:cstheme="minorBidi"/>
          <w:color w:val="auto"/>
          <w:kern w:val="2"/>
          <w:sz w:val="21"/>
          <w:szCs w:val="22"/>
          <w:lang w:val="en-US" w:eastAsia="zh-CN" w:bidi="ar-SA"/>
        </w:rPr>
      </w:pP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626"/>
        <w:gridCol w:w="730"/>
        <w:gridCol w:w="1178"/>
        <w:gridCol w:w="9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5679"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烧结消防隐患整改工程项目报价单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DN150及以下镀锌钢管安装和保温</w:t>
            </w:r>
          </w:p>
        </w:tc>
        <w:tc>
          <w:tcPr>
            <w:tcW w:w="16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22010142.01S01、22030137.01S01</w:t>
            </w: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23000元/t。包括管道、管件及保温材料的卸车、运输、倒运、管道、管件安装、试压、吹扫、标识，35mm厚聚氨酯保温、外包0.5mm厚红色彩板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DN150及以下镀锌钢管安装</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管道、管件的卸车、运输、倒运、管道、管件安装、试压、吹扫、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DN100及以下无缝钢管安装</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包括管道、管件的卸车、运输、倒运、管道、管件安装、除锈、刷漆（含油漆）、试压、吹扫、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42"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DN100及以下镀锌钢管安装和保温</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25000元/t。包括管道、管件及保温材料的卸车、运输、倒运、管道、管件安装、试压、吹扫、标识，40mm厚岩棉保温、1层油毡、2层玻璃丝布、外包0.5mm厚红色彩板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DN150及以下阀门安装</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消火栓安装</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拦标价：150元/套。包括卸车、运输、倒运、安装等涉及的全部工序及人工费、机械费、材料费（不含消火栓）、措施费、不可竞争费、税金、水电费等全部费用。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消火栓箱安装</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拦标价：100元/个。包括卸车、运输、倒运、安装等涉及的全部工序及人工费、机械费、材料费（不含消火栓箱）、措施费、不可竞争费、税金、水电费等全部费用。</w:t>
            </w:r>
            <w:r>
              <w:rPr>
                <w:rStyle w:val="35"/>
                <w:bdr w:val="none" w:color="auto" w:sz="0" w:space="0"/>
                <w:lang w:val="en-US" w:eastAsia="zh-CN" w:bidi="ar"/>
              </w:rPr>
              <w:t>不包含消火栓安装。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1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小于100KG以下的管道支架制安</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18000元/t。包括管托、支吊架、管卡等所有钢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钢结构及管道拆除</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元/t。包含钢结构、阀门、消火栓、管道及管件拆除、分解（分解尺寸不大于800mm*800mm）、运送指定位置、倒运等全部工序及涉及的人工费、机械费、材料费、措施费、不可竞争费、税金、水电费等全部费用。（按磅单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消火栓箱拆除</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拦标价：50元/个。包含拆除、运送指定位置、倒运等全部工序及涉及的人工费、机械费、材料费、措施费、不可竞争费、税金、水电费等全部费用。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1B712F"/>
    <w:rsid w:val="4F214CC8"/>
    <w:rsid w:val="4FC1072C"/>
    <w:rsid w:val="51C85998"/>
    <w:rsid w:val="526A207D"/>
    <w:rsid w:val="53966193"/>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6182</Words>
  <Characters>6423</Characters>
  <Lines>80</Lines>
  <Paragraphs>22</Paragraphs>
  <TotalTime>3</TotalTime>
  <ScaleCrop>false</ScaleCrop>
  <LinksUpToDate>false</LinksUpToDate>
  <CharactersWithSpaces>6829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2022-04-13T08:29:45Z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