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项目报价表（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不含税报价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35" w:tblpY="175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3033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33" w:type="dxa"/>
            <w:vMerge w:val="restart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8"/>
                <w:szCs w:val="28"/>
              </w:rPr>
              <w:t>报价（元/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吨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  <w:tc>
          <w:tcPr>
            <w:tcW w:w="6067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不含税价格（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宋体" w:hAnsi="宋体"/>
                <w:sz w:val="28"/>
                <w:szCs w:val="28"/>
              </w:rPr>
              <w:t>元/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吨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33" w:type="dxa"/>
            <w:vMerge w:val="continue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小写(元)</w:t>
            </w:r>
          </w:p>
        </w:tc>
        <w:tc>
          <w:tcPr>
            <w:tcW w:w="303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303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</w:rPr>
              <w:t>管件破碎及倒运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业务承揽</w:t>
            </w:r>
          </w:p>
        </w:tc>
        <w:tc>
          <w:tcPr>
            <w:tcW w:w="3033" w:type="dxa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税率：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报价单位（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公章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0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2019-11-11T07:25:12Z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