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项目报价表（不含税报价，税率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b/>
          <w:bCs/>
          <w:sz w:val="24"/>
          <w:szCs w:val="24"/>
        </w:rPr>
        <w:t>%）：</w:t>
      </w:r>
    </w:p>
    <w:tbl>
      <w:tblPr>
        <w:tblW w:w="141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093"/>
        <w:gridCol w:w="4616"/>
        <w:gridCol w:w="2677"/>
        <w:gridCol w:w="2307"/>
        <w:gridCol w:w="3481"/>
      </w:tblGrid>
      <w:tr>
        <w:trPr>
          <w:trHeight w:val="469" w:hRule="atLeas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4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承揽项目</w:t>
            </w:r>
          </w:p>
        </w:tc>
        <w:tc>
          <w:tcPr>
            <w:tcW w:w="2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月均费用结算标准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月费用（元）</w:t>
            </w:r>
          </w:p>
        </w:tc>
      </w:tr>
      <w:tr>
        <w:trPr>
          <w:trHeight w:val="1114" w:hRule="atLeast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厂区道路、公厕保洁;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道路、人行道、停车场（约205999平方米）；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生活垃圾清运及处理；</w:t>
            </w:r>
            <w:r>
              <w:rPr>
                <w:rFonts w:hint="eastAsia" w:ascii="宋体" w:hAnsi="宋体" w:cs="宋体"/>
              </w:rPr>
              <w:t>15座公厕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厂区面积约205999平方米，公厕15座，生活垃圾清运200吨/月（按照月费用报价）28人+4名司机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元/月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703" w:hRule="atLeast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动物园动物饲养及管理; 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</w:rPr>
              <w:t>3座动物园（鹿园、鹅园、孔雀园）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动物饲养、饲料、防疫费用；1人（按照月费用报价）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元/月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699" w:hRule="atLeast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4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</w:rPr>
              <w:t>办公楼、副楼、铸管参观通廊及参观厕所保洁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6人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（按照月费用报价）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元/月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696" w:hRule="atLeast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4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</w:rPr>
              <w:t>工业垃圾分拣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3人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（按照月费用报价）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元/月</w:t>
            </w:r>
            <w:bookmarkStart w:id="0" w:name="_GoBack"/>
            <w:bookmarkEnd w:id="0"/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614" w:hRule="atLeast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4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</w:rPr>
              <w:t>通勤车驾驶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3人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（按照月费用报价）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元/月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502" w:hRule="atLeast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4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花圃、单身楼、荷塘月色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19人（按照月费用报价）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元/月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552" w:hRule="atLeast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4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胶圈库房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4人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（按照月费用报价）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另有计件搬运费用，约4000件/月，按单价报价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元/月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元/件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840" w:hRule="atLeast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税率：</w:t>
            </w:r>
          </w:p>
        </w:tc>
        <w:tc>
          <w:tcPr>
            <w:tcW w:w="4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540"/>
        </w:tabs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/>
          <w:sz w:val="28"/>
          <w:szCs w:val="28"/>
        </w:rPr>
        <w:t>报价单位（盖章）：</w:t>
      </w:r>
    </w:p>
    <w:p>
      <w:pPr>
        <w:spacing w:line="520" w:lineRule="exact"/>
      </w:pPr>
      <w:r>
        <w:rPr>
          <w:rFonts w:hint="eastAsia" w:ascii="宋体" w:hAnsi="宋体" w:cs="宋体"/>
          <w:b/>
          <w:bCs/>
          <w:sz w:val="24"/>
          <w:szCs w:val="24"/>
        </w:rPr>
        <w:t>日期：</w:t>
      </w:r>
    </w:p>
    <w:sectPr>
      <w:headerReference r:id="rId4" w:type="default"/>
      <w:footerReference r:id="rId5" w:type="default"/>
      <w:pgSz w:w="16838" w:h="11906" w:orient="landscape"/>
      <w:pgMar w:top="1633" w:right="1440" w:bottom="1633" w:left="1440" w:header="851" w:footer="992" w:gutter="0"/>
      <w:paperSrc w:first="0" w:oth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pict>
        <v:shape id="_x0000_s1026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331</Characters>
  <Lines>2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Printed>2019-12-24T22:40:00Z</cp:lastPrinted>
  <dcterms:modified xsi:type="dcterms:W3CDTF">2019-12-24T14:52:37Z</dcterms:modified>
  <dc:title>xbany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