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240" w:lineRule="auto"/>
        <w:rPr>
          <w:rFonts w:ascii="宋体" w:hAnsi="宋体"/>
          <w:b/>
        </w:rPr>
      </w:pPr>
      <w:r>
        <w:rPr>
          <w:rFonts w:hint="eastAsia" w:ascii="宋体" w:hAnsi="宋体"/>
          <w:b/>
        </w:rPr>
        <w:t>一般要求</w:t>
      </w:r>
    </w:p>
    <w:p>
      <w:pPr>
        <w:pStyle w:val="2"/>
        <w:spacing w:line="240" w:lineRule="auto"/>
        <w:ind w:left="480"/>
        <w:rPr>
          <w:rFonts w:ascii="宋体" w:hAnsi="宋体"/>
          <w:b/>
          <w:bCs/>
        </w:rPr>
      </w:pPr>
      <w:r>
        <w:rPr>
          <w:rFonts w:ascii="宋体" w:hAnsi="宋体"/>
        </w:rPr>
        <w:t xml:space="preserve">    </w:t>
      </w: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240" w:lineRule="auto"/>
        <w:rPr>
          <w:rFonts w:hint="eastAsia" w:ascii="宋体" w:hAnsi="宋体"/>
          <w:b/>
        </w:rPr>
      </w:pPr>
      <w:r>
        <w:rPr>
          <w:rFonts w:hint="eastAsia" w:ascii="宋体" w:hAnsi="宋体"/>
          <w:b/>
        </w:rPr>
        <w:t>投标保证金</w:t>
      </w:r>
    </w:p>
    <w:p>
      <w:pPr>
        <w:tabs>
          <w:tab w:val="left" w:pos="420"/>
          <w:tab w:val="left" w:pos="630"/>
        </w:tabs>
        <w:spacing w:line="240" w:lineRule="auto"/>
        <w:ind w:left="480" w:leftChars="200" w:firstLine="480" w:firstLineChars="200"/>
        <w:rPr>
          <w:rFonts w:hint="eastAsia" w:ascii="宋体" w:hAnsi="宋体"/>
          <w:bCs/>
          <w:sz w:val="32"/>
        </w:rPr>
      </w:pPr>
      <w:r>
        <w:rPr>
          <w:rFonts w:hint="eastAsia" w:ascii="宋体" w:hAnsi="宋体"/>
          <w:bCs/>
        </w:rPr>
        <w:t>本次招标收取</w:t>
      </w:r>
      <w:r>
        <w:rPr>
          <w:rFonts w:hint="eastAsia" w:ascii="宋体" w:hAnsi="宋体"/>
          <w:bCs/>
          <w:color w:val="0000FF"/>
          <w:u w:val="single"/>
        </w:rPr>
        <w:t>投标保证金</w:t>
      </w:r>
      <w:r>
        <w:rPr>
          <w:rFonts w:hint="eastAsia" w:ascii="宋体" w:hAnsi="宋体"/>
          <w:b/>
          <w:bCs/>
          <w:color w:val="FF0000"/>
          <w:u w:val="single"/>
          <w:lang w:val="en-US" w:eastAsia="zh-CN"/>
        </w:rPr>
        <w:t>叁万元</w:t>
      </w:r>
      <w:r>
        <w:rPr>
          <w:rFonts w:hint="eastAsia" w:ascii="宋体" w:hAnsi="宋体"/>
          <w:bCs/>
          <w:color w:val="0000FF"/>
          <w:u w:val="single"/>
        </w:rPr>
        <w:t>（电汇，基本账户汇款）</w:t>
      </w:r>
      <w:r>
        <w:rPr>
          <w:rFonts w:hint="eastAsia" w:ascii="宋体" w:hAnsi="宋体"/>
          <w:bCs/>
        </w:rPr>
        <w:t>，投标人需在</w:t>
      </w:r>
      <w:r>
        <w:rPr>
          <w:rFonts w:hint="eastAsia" w:ascii="宋体" w:hAnsi="宋体"/>
          <w:u w:val="single"/>
          <w:lang w:val="en-US" w:eastAsia="zh-CN"/>
        </w:rPr>
        <w:t>2020</w:t>
      </w:r>
      <w:r>
        <w:rPr>
          <w:rFonts w:hint="eastAsia" w:ascii="宋体" w:hAnsi="宋体"/>
          <w:bCs/>
          <w:color w:val="7030A0"/>
        </w:rPr>
        <w:t>年</w:t>
      </w:r>
      <w:r>
        <w:rPr>
          <w:rFonts w:hint="eastAsia" w:ascii="宋体" w:hAnsi="宋体"/>
          <w:u w:val="single"/>
          <w:lang w:val="en-US" w:eastAsia="zh-CN"/>
        </w:rPr>
        <w:t>03</w:t>
      </w:r>
      <w:r>
        <w:rPr>
          <w:rFonts w:hint="eastAsia" w:ascii="宋体" w:hAnsi="宋体"/>
          <w:bCs/>
          <w:color w:val="7030A0"/>
        </w:rPr>
        <w:t>月</w:t>
      </w:r>
      <w:r>
        <w:rPr>
          <w:rFonts w:hint="eastAsia" w:ascii="宋体" w:hAnsi="宋体"/>
          <w:u w:val="single"/>
          <w:lang w:val="en-US" w:eastAsia="zh-CN"/>
        </w:rPr>
        <w:t>13</w:t>
      </w:r>
      <w:r>
        <w:rPr>
          <w:rFonts w:hint="eastAsia" w:ascii="宋体" w:hAnsi="宋体"/>
          <w:bCs/>
          <w:color w:val="7030A0"/>
        </w:rPr>
        <w:t>日</w:t>
      </w:r>
      <w:r>
        <w:rPr>
          <w:rFonts w:hint="eastAsia" w:ascii="宋体" w:hAnsi="宋体"/>
          <w:u w:val="single"/>
          <w:lang w:val="en-US" w:eastAsia="zh-CN"/>
        </w:rPr>
        <w:t>16:30</w:t>
      </w:r>
      <w:r>
        <w:rPr>
          <w:rFonts w:hint="eastAsia" w:ascii="宋体" w:hAnsi="宋体"/>
          <w:bCs/>
          <w:color w:val="7030A0"/>
        </w:rPr>
        <w:t>点前</w:t>
      </w:r>
      <w:r>
        <w:rPr>
          <w:rFonts w:hint="eastAsia" w:ascii="宋体" w:hAnsi="宋体"/>
          <w:bCs/>
        </w:rPr>
        <w:t>缴纳此费用（否则视为自动放弃投标资格），注明投标保证金。如未中标，发包人将会无息退还此费用(60日内)，如中标，则此款项自动转为履约保证金。</w:t>
      </w:r>
    </w:p>
    <w:p>
      <w:pPr>
        <w:spacing w:line="240" w:lineRule="auto"/>
        <w:ind w:firstLine="1680" w:firstLineChars="700"/>
        <w:rPr>
          <w:rFonts w:ascii="宋体" w:hAnsi="宋体"/>
          <w:bCs/>
        </w:rPr>
      </w:pPr>
      <w:r>
        <w:rPr>
          <w:rFonts w:hint="eastAsia" w:ascii="宋体" w:hAnsi="宋体"/>
          <w:bCs/>
        </w:rPr>
        <w:t>单位名称：芜湖新兴铸管有限责任公司</w:t>
      </w:r>
      <w:r>
        <w:rPr>
          <w:rFonts w:ascii="宋体" w:hAnsi="宋体"/>
          <w:bCs/>
        </w:rPr>
        <w:t xml:space="preserve">         </w:t>
      </w:r>
    </w:p>
    <w:p>
      <w:pPr>
        <w:spacing w:line="240" w:lineRule="auto"/>
        <w:ind w:firstLine="1680" w:firstLineChars="700"/>
        <w:rPr>
          <w:rFonts w:hint="eastAsia" w:ascii="宋体" w:hAnsi="宋体"/>
          <w:bCs/>
        </w:rPr>
      </w:pPr>
      <w:r>
        <w:rPr>
          <w:rFonts w:hint="eastAsia" w:ascii="宋体" w:hAnsi="宋体"/>
          <w:bCs/>
        </w:rPr>
        <w:t>单位地址：芜湖市</w:t>
      </w:r>
      <w:r>
        <w:rPr>
          <w:rFonts w:ascii="宋体" w:hAnsi="宋体"/>
          <w:bCs/>
        </w:rPr>
        <w:t>三山区经济开发区</w:t>
      </w:r>
      <w:r>
        <w:rPr>
          <w:rFonts w:hint="eastAsia" w:ascii="宋体" w:hAnsi="宋体"/>
          <w:bCs/>
        </w:rPr>
        <w:t>春洲路2号</w:t>
      </w:r>
    </w:p>
    <w:p>
      <w:pPr>
        <w:spacing w:line="240" w:lineRule="auto"/>
        <w:ind w:firstLine="1680" w:firstLineChars="700"/>
        <w:rPr>
          <w:rFonts w:ascii="宋体" w:hAnsi="宋体"/>
          <w:bCs/>
        </w:rPr>
      </w:pPr>
      <w:r>
        <w:rPr>
          <w:rFonts w:hint="eastAsia" w:ascii="宋体" w:hAnsi="宋体"/>
          <w:bCs/>
        </w:rPr>
        <w:t>开</w:t>
      </w:r>
      <w:r>
        <w:rPr>
          <w:rFonts w:ascii="宋体" w:hAnsi="宋体"/>
          <w:bCs/>
        </w:rPr>
        <w:t xml:space="preserve"> </w:t>
      </w:r>
      <w:r>
        <w:rPr>
          <w:rFonts w:hint="eastAsia" w:ascii="宋体" w:hAnsi="宋体"/>
          <w:bCs/>
        </w:rPr>
        <w:t>户</w:t>
      </w:r>
      <w:r>
        <w:rPr>
          <w:rFonts w:ascii="宋体" w:hAnsi="宋体"/>
          <w:bCs/>
        </w:rPr>
        <w:t xml:space="preserve"> </w:t>
      </w:r>
      <w:r>
        <w:rPr>
          <w:rFonts w:hint="eastAsia" w:ascii="宋体" w:hAnsi="宋体"/>
          <w:bCs/>
        </w:rPr>
        <w:t>行：工商银行环城路支行（工行环办）</w:t>
      </w:r>
    </w:p>
    <w:p>
      <w:pPr>
        <w:spacing w:line="240" w:lineRule="auto"/>
        <w:ind w:firstLine="1653" w:firstLineChars="689"/>
        <w:rPr>
          <w:rFonts w:hint="eastAsia" w:ascii="宋体" w:hAnsi="宋体"/>
          <w:bCs/>
        </w:rPr>
      </w:pPr>
      <w:r>
        <w:rPr>
          <w:rFonts w:hint="eastAsia" w:ascii="宋体" w:hAnsi="宋体"/>
          <w:bCs/>
        </w:rPr>
        <w:t>帐</w:t>
      </w:r>
      <w:r>
        <w:rPr>
          <w:rFonts w:ascii="宋体" w:hAnsi="宋体"/>
          <w:bCs/>
        </w:rPr>
        <w:t xml:space="preserve">    </w:t>
      </w:r>
      <w:r>
        <w:rPr>
          <w:rFonts w:hint="eastAsia" w:ascii="宋体" w:hAnsi="宋体"/>
          <w:bCs/>
        </w:rPr>
        <w:t>号：1307023219000109264</w:t>
      </w:r>
    </w:p>
    <w:p>
      <w:pPr>
        <w:spacing w:line="240" w:lineRule="auto"/>
        <w:ind w:firstLine="1653" w:firstLineChars="689"/>
        <w:rPr>
          <w:rFonts w:hint="eastAsia" w:ascii="宋体" w:hAnsi="宋体"/>
          <w:bCs/>
        </w:rPr>
      </w:pPr>
    </w:p>
    <w:p>
      <w:pPr>
        <w:numPr>
          <w:ilvl w:val="0"/>
          <w:numId w:val="1"/>
        </w:numPr>
        <w:spacing w:line="240" w:lineRule="auto"/>
        <w:rPr>
          <w:rFonts w:ascii="宋体" w:hAnsi="宋体"/>
          <w:b/>
        </w:rPr>
      </w:pPr>
      <w:r>
        <w:rPr>
          <w:rFonts w:hint="eastAsia" w:ascii="宋体" w:hAnsi="宋体"/>
          <w:b/>
        </w:rPr>
        <w:t>投标文件的语言</w:t>
      </w:r>
    </w:p>
    <w:p>
      <w:pPr>
        <w:spacing w:line="240" w:lineRule="auto"/>
        <w:ind w:left="571" w:leftChars="238" w:firstLine="480" w:firstLineChars="200"/>
        <w:rPr>
          <w:rFonts w:ascii="宋体" w:hAnsi="宋体"/>
        </w:rPr>
      </w:pPr>
      <w:r>
        <w:rPr>
          <w:rFonts w:hint="eastAsia" w:ascii="宋体" w:hAnsi="宋体"/>
        </w:rPr>
        <w:t>投标文件应用中文编写；度量衡采用国家法定单位制（即国际单位制）；货币采用人民币。</w:t>
      </w:r>
    </w:p>
    <w:p>
      <w:pPr>
        <w:numPr>
          <w:ilvl w:val="0"/>
          <w:numId w:val="1"/>
        </w:numPr>
        <w:spacing w:line="240" w:lineRule="auto"/>
        <w:rPr>
          <w:rFonts w:ascii="宋体" w:hAnsi="宋体"/>
          <w:b/>
        </w:rPr>
      </w:pPr>
      <w:r>
        <w:rPr>
          <w:rFonts w:hint="eastAsia" w:ascii="宋体" w:hAnsi="宋体"/>
          <w:b/>
        </w:rPr>
        <w:t>投标有效期</w:t>
      </w:r>
    </w:p>
    <w:p>
      <w:pPr>
        <w:spacing w:line="240" w:lineRule="auto"/>
        <w:ind w:firstLine="1020" w:firstLineChars="425"/>
        <w:rPr>
          <w:rFonts w:ascii="宋体" w:hAnsi="宋体"/>
        </w:rPr>
      </w:pPr>
      <w:r>
        <w:rPr>
          <w:rFonts w:hint="eastAsia" w:ascii="宋体" w:hAnsi="宋体"/>
        </w:rPr>
        <w:t>投标有效期:90天。</w:t>
      </w:r>
    </w:p>
    <w:p>
      <w:pPr>
        <w:numPr>
          <w:ilvl w:val="0"/>
          <w:numId w:val="1"/>
        </w:numPr>
        <w:spacing w:line="240" w:lineRule="auto"/>
        <w:rPr>
          <w:rFonts w:ascii="宋体" w:hAnsi="宋体"/>
          <w:b/>
        </w:rPr>
      </w:pPr>
      <w:r>
        <w:rPr>
          <w:rFonts w:hint="eastAsia" w:ascii="宋体" w:hAnsi="宋体"/>
          <w:b/>
        </w:rPr>
        <w:t>投标人要求</w:t>
      </w:r>
    </w:p>
    <w:p>
      <w:pPr>
        <w:numPr>
          <w:ilvl w:val="0"/>
          <w:numId w:val="2"/>
        </w:numPr>
        <w:spacing w:line="240" w:lineRule="auto"/>
        <w:ind w:left="285" w:leftChars="0"/>
        <w:rPr>
          <w:rFonts w:ascii="宋体" w:hAnsi="宋体"/>
        </w:rPr>
      </w:pPr>
      <w:r>
        <w:rPr>
          <w:rFonts w:hint="eastAsia" w:ascii="宋体" w:hAnsi="宋体"/>
        </w:rPr>
        <w:t>合格的投标人应具有圆满履行合同的能力，具体应符合下列条件：</w:t>
      </w:r>
    </w:p>
    <w:p>
      <w:pPr>
        <w:numPr>
          <w:ilvl w:val="0"/>
          <w:numId w:val="3"/>
        </w:numPr>
        <w:tabs>
          <w:tab w:val="left" w:pos="1125"/>
        </w:tabs>
        <w:spacing w:line="240" w:lineRule="auto"/>
        <w:ind w:left="1265" w:leftChars="0" w:hanging="425" w:firstLineChars="0"/>
        <w:rPr>
          <w:rFonts w:ascii="宋体" w:hAnsi="宋体"/>
        </w:rPr>
      </w:pPr>
      <w:r>
        <w:rPr>
          <w:rFonts w:hint="eastAsia" w:ascii="宋体" w:hAnsi="宋体"/>
        </w:rPr>
        <w:t>具有独立订立合同的权利。</w:t>
      </w:r>
    </w:p>
    <w:p>
      <w:pPr>
        <w:numPr>
          <w:ilvl w:val="0"/>
          <w:numId w:val="3"/>
        </w:numPr>
        <w:tabs>
          <w:tab w:val="left" w:pos="1125"/>
        </w:tabs>
        <w:spacing w:line="240" w:lineRule="auto"/>
        <w:ind w:left="1265" w:leftChars="0" w:hanging="425" w:firstLineChars="0"/>
        <w:jc w:val="left"/>
        <w:rPr>
          <w:rFonts w:ascii="宋体" w:hAnsi="宋体"/>
        </w:rPr>
      </w:pPr>
      <w:r>
        <w:rPr>
          <w:rFonts w:hint="eastAsia" w:ascii="宋体" w:hAnsi="宋体"/>
        </w:rPr>
        <w:t>在专业技术、设备设施、人员组成、业绩经验等方面具有设计、制造、质量控制、经营管理的相应的资格和能力。</w:t>
      </w:r>
    </w:p>
    <w:p>
      <w:pPr>
        <w:numPr>
          <w:ilvl w:val="0"/>
          <w:numId w:val="3"/>
        </w:numPr>
        <w:tabs>
          <w:tab w:val="left" w:pos="1125"/>
        </w:tabs>
        <w:spacing w:line="240" w:lineRule="auto"/>
        <w:ind w:left="1265" w:leftChars="0" w:hanging="425" w:firstLineChars="0"/>
        <w:rPr>
          <w:rFonts w:hint="eastAsia" w:ascii="宋体" w:hAnsi="宋体"/>
          <w:color w:val="FF0000"/>
        </w:rPr>
      </w:pPr>
      <w:r>
        <w:rPr>
          <w:rFonts w:hint="eastAsia" w:ascii="宋体" w:hAnsi="宋体"/>
        </w:rPr>
        <w:t>必须有</w:t>
      </w:r>
      <w:r>
        <w:rPr>
          <w:rFonts w:hint="eastAsia" w:ascii="宋体" w:hAnsi="宋体"/>
          <w:lang w:val="en-US" w:eastAsia="zh-CN"/>
        </w:rPr>
        <w:t>合同履约</w:t>
      </w:r>
      <w:r>
        <w:rPr>
          <w:rFonts w:hint="eastAsia" w:ascii="宋体" w:hAnsi="宋体"/>
        </w:rPr>
        <w:t>能力。</w:t>
      </w:r>
    </w:p>
    <w:p>
      <w:pPr>
        <w:numPr>
          <w:ilvl w:val="0"/>
          <w:numId w:val="3"/>
        </w:numPr>
        <w:tabs>
          <w:tab w:val="left" w:pos="1125"/>
        </w:tabs>
        <w:spacing w:line="240" w:lineRule="auto"/>
        <w:ind w:left="1265" w:leftChars="0" w:hanging="425" w:firstLineChars="0"/>
        <w:rPr>
          <w:rFonts w:ascii="宋体" w:hAnsi="宋体"/>
        </w:rPr>
      </w:pPr>
      <w:r>
        <w:rPr>
          <w:rFonts w:hint="eastAsia" w:ascii="宋体" w:hAnsi="宋体"/>
        </w:rPr>
        <w:t>具有</w:t>
      </w:r>
      <w:r>
        <w:rPr>
          <w:rFonts w:ascii="宋体" w:hAnsi="宋体"/>
        </w:rPr>
        <w:t>法律、法规</w:t>
      </w:r>
      <w:r>
        <w:rPr>
          <w:rFonts w:hint="eastAsia" w:ascii="宋体" w:hAnsi="宋体"/>
        </w:rPr>
        <w:t>和招标人</w:t>
      </w:r>
      <w:r>
        <w:rPr>
          <w:rFonts w:ascii="宋体" w:hAnsi="宋体"/>
        </w:rPr>
        <w:t>规定的其他条件</w:t>
      </w:r>
      <w:r>
        <w:rPr>
          <w:rFonts w:hint="eastAsia" w:ascii="宋体" w:hAnsi="宋体"/>
        </w:rPr>
        <w:t>。</w:t>
      </w:r>
    </w:p>
    <w:p>
      <w:pPr>
        <w:numPr>
          <w:ilvl w:val="0"/>
          <w:numId w:val="2"/>
        </w:numPr>
        <w:spacing w:line="240" w:lineRule="auto"/>
        <w:ind w:left="285" w:leftChars="0" w:firstLine="0" w:firstLineChars="0"/>
        <w:rPr>
          <w:rFonts w:hint="eastAsia" w:ascii="宋体" w:hAnsi="宋体"/>
        </w:rPr>
      </w:pPr>
      <w:r>
        <w:rPr>
          <w:rFonts w:hint="eastAsia" w:ascii="宋体" w:hAnsi="宋体"/>
        </w:rPr>
        <w:t>投标人</w:t>
      </w:r>
      <w:r>
        <w:rPr>
          <w:rFonts w:hint="eastAsia" w:ascii="宋体" w:hAnsi="宋体" w:cs="宋体"/>
        </w:rPr>
        <w:t>应</w:t>
      </w:r>
      <w:r>
        <w:rPr>
          <w:rFonts w:hint="eastAsia" w:ascii="宋体" w:hAnsi="宋体"/>
        </w:rPr>
        <w:t>提供下列文件和资料：</w:t>
      </w:r>
    </w:p>
    <w:p>
      <w:pPr>
        <w:numPr>
          <w:ilvl w:val="0"/>
          <w:numId w:val="4"/>
        </w:numPr>
        <w:spacing w:line="240" w:lineRule="auto"/>
        <w:rPr>
          <w:rFonts w:hint="eastAsia" w:ascii="宋体" w:hAnsi="宋体"/>
        </w:rPr>
      </w:pPr>
      <w:r>
        <w:rPr>
          <w:rFonts w:hint="eastAsia" w:ascii="宋体" w:hAnsi="宋体"/>
        </w:rPr>
        <w:t>商务文件：</w:t>
      </w:r>
    </w:p>
    <w:p>
      <w:pPr>
        <w:numPr>
          <w:ilvl w:val="0"/>
          <w:numId w:val="5"/>
        </w:numPr>
        <w:spacing w:line="240" w:lineRule="auto"/>
        <w:ind w:firstLine="120"/>
        <w:rPr>
          <w:rFonts w:hint="eastAsia" w:ascii="宋体" w:hAnsi="宋体"/>
        </w:rPr>
      </w:pPr>
      <w:r>
        <w:rPr>
          <w:rFonts w:hint="eastAsia" w:ascii="宋体" w:hAnsi="宋体"/>
        </w:rPr>
        <w:t>投标人法定代表人授权书及授权代表身份证复印件。</w:t>
      </w:r>
    </w:p>
    <w:p>
      <w:pPr>
        <w:numPr>
          <w:ilvl w:val="0"/>
          <w:numId w:val="5"/>
        </w:numPr>
        <w:spacing w:line="240" w:lineRule="auto"/>
        <w:ind w:firstLine="120"/>
        <w:rPr>
          <w:rFonts w:ascii="宋体" w:hAnsi="宋体"/>
        </w:rPr>
      </w:pPr>
      <w:r>
        <w:rPr>
          <w:rFonts w:hint="eastAsia" w:ascii="宋体" w:hAnsi="宋体"/>
        </w:rPr>
        <w:t>企业法人营业执照及质量、环境、职业安全体系认证等。</w:t>
      </w:r>
    </w:p>
    <w:p>
      <w:pPr>
        <w:numPr>
          <w:ilvl w:val="0"/>
          <w:numId w:val="5"/>
        </w:numPr>
        <w:spacing w:line="240" w:lineRule="auto"/>
        <w:ind w:firstLine="120"/>
        <w:rPr>
          <w:rFonts w:hint="eastAsia" w:ascii="宋体" w:hAnsi="宋体"/>
        </w:rPr>
      </w:pPr>
      <w:r>
        <w:rPr>
          <w:rFonts w:hint="eastAsia" w:ascii="宋体" w:hAnsi="宋体"/>
        </w:rPr>
        <w:t>生产许可证、行业许可证、有关的鉴定材料等。</w:t>
      </w:r>
    </w:p>
    <w:p>
      <w:pPr>
        <w:numPr>
          <w:ilvl w:val="0"/>
          <w:numId w:val="5"/>
        </w:numPr>
        <w:spacing w:line="240" w:lineRule="auto"/>
        <w:ind w:firstLine="120"/>
        <w:rPr>
          <w:rFonts w:hint="eastAsia" w:ascii="宋体" w:hAnsi="宋体"/>
        </w:rPr>
      </w:pPr>
      <w:r>
        <w:rPr>
          <w:rFonts w:hint="eastAsia" w:ascii="宋体" w:hAnsi="宋体"/>
        </w:rPr>
        <w:t>近几年内与此项目相关的业绩合同。</w:t>
      </w:r>
    </w:p>
    <w:p>
      <w:pPr>
        <w:numPr>
          <w:ilvl w:val="0"/>
          <w:numId w:val="5"/>
        </w:numPr>
        <w:spacing w:line="240" w:lineRule="auto"/>
        <w:ind w:firstLine="120"/>
        <w:rPr>
          <w:rFonts w:hint="eastAsia" w:ascii="宋体" w:hAnsi="宋体"/>
        </w:rPr>
      </w:pPr>
      <w:r>
        <w:rPr>
          <w:rFonts w:hint="eastAsia" w:ascii="宋体" w:hAnsi="宋体"/>
        </w:rPr>
        <w:t>投标有效期。</w:t>
      </w:r>
    </w:p>
    <w:p>
      <w:pPr>
        <w:numPr>
          <w:ilvl w:val="0"/>
          <w:numId w:val="5"/>
        </w:numPr>
        <w:spacing w:line="240" w:lineRule="auto"/>
        <w:ind w:firstLine="120"/>
        <w:rPr>
          <w:rFonts w:hint="eastAsia" w:ascii="宋体" w:hAnsi="宋体"/>
          <w:bCs/>
        </w:rPr>
      </w:pPr>
      <w:r>
        <w:rPr>
          <w:rFonts w:hint="eastAsia" w:ascii="宋体" w:hAnsi="宋体"/>
          <w:bCs/>
        </w:rPr>
        <w:t>投标项目的具体明细（不含报价）。</w:t>
      </w:r>
    </w:p>
    <w:p>
      <w:pPr>
        <w:numPr>
          <w:ilvl w:val="0"/>
          <w:numId w:val="5"/>
        </w:numPr>
        <w:spacing w:line="240" w:lineRule="auto"/>
        <w:ind w:firstLine="120"/>
        <w:rPr>
          <w:rFonts w:ascii="宋体" w:hAnsi="宋体"/>
          <w:bCs/>
        </w:rPr>
      </w:pPr>
      <w:r>
        <w:rPr>
          <w:rFonts w:hint="eastAsia" w:ascii="宋体" w:hAnsi="宋体"/>
          <w:bCs/>
        </w:rPr>
        <w:t>联合体投标人提供的联合协议。</w:t>
      </w:r>
    </w:p>
    <w:p>
      <w:pPr>
        <w:numPr>
          <w:ilvl w:val="0"/>
          <w:numId w:val="4"/>
        </w:numPr>
        <w:spacing w:line="240" w:lineRule="auto"/>
        <w:rPr>
          <w:rFonts w:hint="eastAsia" w:ascii="宋体" w:hAnsi="宋体"/>
          <w:bCs/>
        </w:rPr>
      </w:pPr>
      <w:r>
        <w:rPr>
          <w:rFonts w:hint="eastAsia" w:ascii="宋体" w:hAnsi="宋体"/>
          <w:bCs/>
        </w:rPr>
        <w:t>技术文件：包括投标方案及其说明等。</w:t>
      </w:r>
    </w:p>
    <w:p>
      <w:pPr>
        <w:numPr>
          <w:ilvl w:val="0"/>
          <w:numId w:val="4"/>
        </w:numPr>
        <w:spacing w:line="240" w:lineRule="auto"/>
        <w:rPr>
          <w:rFonts w:ascii="宋体" w:hAnsi="宋体"/>
          <w:bCs/>
        </w:rPr>
      </w:pPr>
      <w:r>
        <w:rPr>
          <w:rFonts w:hint="eastAsia" w:ascii="宋体" w:hAnsi="宋体"/>
          <w:bCs/>
        </w:rPr>
        <w:t>价格文件：一份即可，必须单独密封。投标人必须填写投标报价表，设备价格为含税到厂价，并注明税率。</w:t>
      </w:r>
    </w:p>
    <w:p>
      <w:pPr>
        <w:numPr>
          <w:ilvl w:val="0"/>
          <w:numId w:val="4"/>
        </w:numPr>
        <w:spacing w:line="240" w:lineRule="auto"/>
        <w:ind w:left="1123" w:hanging="703"/>
        <w:rPr>
          <w:rFonts w:ascii="宋体" w:hAnsi="宋体"/>
        </w:rPr>
      </w:pPr>
      <w:r>
        <w:rPr>
          <w:rFonts w:hint="eastAsia" w:ascii="宋体" w:hAnsi="宋体"/>
          <w:bCs/>
        </w:rPr>
        <w:t>其它文件：包括</w:t>
      </w:r>
      <w:r>
        <w:rPr>
          <w:rFonts w:hint="eastAsia" w:ascii="宋体" w:hAnsi="宋体"/>
        </w:rPr>
        <w:t>商务、技术偏差表或不满足招标文件的差异说明，招标文件要求具备的其他内容，以及投标人额外承诺或补充说明等。对所安装的设备提供土建条件相关资料。</w:t>
      </w:r>
    </w:p>
    <w:p>
      <w:pPr>
        <w:spacing w:line="240" w:lineRule="auto"/>
        <w:rPr>
          <w:rFonts w:ascii="宋体" w:hAnsi="宋体"/>
          <w:b/>
        </w:rPr>
      </w:pPr>
      <w:r>
        <w:rPr>
          <w:rFonts w:hint="eastAsia" w:ascii="宋体" w:hAnsi="宋体"/>
          <w:b/>
        </w:rPr>
        <w:t>五、投标费用</w:t>
      </w:r>
    </w:p>
    <w:p>
      <w:pPr>
        <w:spacing w:line="240" w:lineRule="auto"/>
        <w:ind w:left="480" w:leftChars="200" w:firstLine="480" w:firstLineChars="200"/>
        <w:rPr>
          <w:rFonts w:hint="eastAsia" w:ascii="宋体" w:hAnsi="宋体"/>
        </w:rPr>
      </w:pPr>
      <w:r>
        <w:rPr>
          <w:rFonts w:hint="eastAsia" w:ascii="宋体" w:hAnsi="宋体"/>
        </w:rPr>
        <w:t>无论投标过程中的做法和结果如何，投标人承担所有与准备递交投标文件有关的费用，芜湖新兴铸管有限责任公司在任何情况下不负担这些费用。</w:t>
      </w:r>
    </w:p>
    <w:p>
      <w:pPr>
        <w:spacing w:line="240" w:lineRule="auto"/>
        <w:rPr>
          <w:rFonts w:ascii="宋体" w:hAnsi="宋体"/>
          <w:b/>
        </w:rPr>
      </w:pPr>
      <w:r>
        <w:rPr>
          <w:rFonts w:hint="eastAsia" w:ascii="宋体" w:hAnsi="宋体"/>
          <w:b/>
        </w:rPr>
        <w:t>六、投标人建议</w:t>
      </w:r>
    </w:p>
    <w:p>
      <w:pPr>
        <w:spacing w:line="240" w:lineRule="auto"/>
        <w:ind w:left="480" w:firstLine="480" w:firstLineChars="200"/>
        <w:rPr>
          <w:rFonts w:ascii="宋体" w:hAnsi="宋体"/>
        </w:rPr>
      </w:pPr>
      <w:r>
        <w:rPr>
          <w:rFonts w:hint="eastAsia" w:ascii="宋体" w:hAnsi="宋体"/>
        </w:rPr>
        <w:t>投标人可提出补充建议或说明，提出比招标文件的要求更为合理的方案。</w:t>
      </w:r>
    </w:p>
    <w:p>
      <w:pPr>
        <w:spacing w:line="240" w:lineRule="auto"/>
        <w:rPr>
          <w:rFonts w:hint="eastAsia" w:ascii="宋体" w:hAnsi="宋体"/>
          <w:b/>
        </w:rPr>
      </w:pPr>
      <w:r>
        <w:rPr>
          <w:rFonts w:hint="eastAsia" w:ascii="宋体" w:hAnsi="宋体"/>
          <w:b/>
        </w:rPr>
        <w:t>七、投标文件的份数和签署</w:t>
      </w:r>
    </w:p>
    <w:p>
      <w:pPr>
        <w:numPr>
          <w:ilvl w:val="0"/>
          <w:numId w:val="6"/>
        </w:numPr>
        <w:spacing w:line="240" w:lineRule="auto"/>
        <w:ind w:left="0" w:leftChars="0" w:firstLine="480" w:firstLineChars="200"/>
        <w:rPr>
          <w:rFonts w:ascii="宋体" w:hAnsi="宋体"/>
          <w:bCs/>
        </w:rPr>
      </w:pPr>
      <w:r>
        <w:rPr>
          <w:rFonts w:hint="eastAsia" w:ascii="宋体" w:hAnsi="宋体"/>
        </w:rPr>
        <w:t>标书</w:t>
      </w:r>
      <w:r>
        <w:rPr>
          <w:rFonts w:ascii="宋体" w:hAnsi="宋体"/>
        </w:rPr>
        <w:t>一式</w:t>
      </w:r>
      <w:r>
        <w:rPr>
          <w:rFonts w:hint="eastAsia" w:ascii="宋体" w:hAnsi="宋体"/>
        </w:rPr>
        <w:t>四</w:t>
      </w:r>
      <w:r>
        <w:rPr>
          <w:rFonts w:ascii="宋体" w:hAnsi="宋体"/>
        </w:rPr>
        <w:t>份，正本一份，副本</w:t>
      </w:r>
      <w:r>
        <w:rPr>
          <w:rFonts w:hint="eastAsia" w:ascii="宋体" w:hAnsi="宋体"/>
        </w:rPr>
        <w:t>三</w:t>
      </w:r>
      <w:r>
        <w:rPr>
          <w:rFonts w:ascii="宋体" w:hAnsi="宋体"/>
        </w:rPr>
        <w:t>份</w:t>
      </w:r>
      <w:r>
        <w:rPr>
          <w:rFonts w:hint="eastAsia" w:ascii="宋体" w:hAnsi="宋体"/>
          <w:bCs/>
        </w:rPr>
        <w:t>，价格文件：一份即可，必须单独密封。</w:t>
      </w:r>
    </w:p>
    <w:p>
      <w:pPr>
        <w:numPr>
          <w:ilvl w:val="0"/>
          <w:numId w:val="6"/>
        </w:numPr>
        <w:spacing w:line="240" w:lineRule="auto"/>
        <w:ind w:left="0" w:leftChars="0" w:firstLine="480" w:firstLineChars="200"/>
        <w:rPr>
          <w:rFonts w:hint="eastAsia" w:ascii="宋体" w:hAnsi="宋体"/>
        </w:rPr>
      </w:pPr>
      <w:r>
        <w:rPr>
          <w:rFonts w:hint="eastAsia" w:ascii="宋体" w:hAnsi="宋体"/>
        </w:rPr>
        <w:t>标书、</w:t>
      </w:r>
      <w:r>
        <w:rPr>
          <w:rFonts w:ascii="宋体" w:hAnsi="宋体"/>
        </w:rPr>
        <w:t>报价表均加盖公章。</w:t>
      </w:r>
    </w:p>
    <w:p>
      <w:pPr>
        <w:spacing w:line="240" w:lineRule="auto"/>
        <w:rPr>
          <w:rFonts w:hint="eastAsia" w:ascii="宋体" w:hAnsi="宋体"/>
          <w:b/>
        </w:rPr>
      </w:pPr>
      <w:r>
        <w:rPr>
          <w:rFonts w:hint="eastAsia" w:ascii="宋体" w:hAnsi="宋体"/>
          <w:b/>
        </w:rPr>
        <w:t>八、投标报价</w:t>
      </w:r>
    </w:p>
    <w:p>
      <w:pPr>
        <w:pStyle w:val="6"/>
        <w:numPr>
          <w:ilvl w:val="0"/>
          <w:numId w:val="7"/>
        </w:numPr>
        <w:spacing w:line="240" w:lineRule="auto"/>
        <w:ind w:left="0" w:leftChars="0" w:firstLine="480" w:firstLineChars="200"/>
        <w:rPr>
          <w:rFonts w:hint="eastAsia" w:ascii="宋体" w:hAnsi="宋体"/>
          <w:b/>
          <w:bCs/>
        </w:rPr>
      </w:pPr>
      <w:r>
        <w:rPr>
          <w:rFonts w:ascii="宋体" w:hAnsi="宋体"/>
        </w:rPr>
        <w:t>投标人应严格按照招标文件提供的格式认真填写价格表。</w:t>
      </w:r>
    </w:p>
    <w:p>
      <w:pPr>
        <w:pStyle w:val="6"/>
        <w:numPr>
          <w:ilvl w:val="0"/>
          <w:numId w:val="7"/>
        </w:numPr>
        <w:spacing w:line="240" w:lineRule="auto"/>
        <w:ind w:left="0" w:leftChars="0" w:firstLine="480" w:firstLineChars="200"/>
        <w:rPr>
          <w:rFonts w:hint="eastAsia" w:ascii="宋体" w:hAnsi="宋体"/>
          <w:b/>
          <w:bCs/>
          <w:color w:val="FF0000"/>
        </w:rPr>
      </w:pPr>
      <w:r>
        <w:t>若单</w:t>
      </w:r>
      <w:r>
        <w:rPr>
          <w:rFonts w:ascii="宋体" w:hAnsi="宋体"/>
        </w:rPr>
        <w:t>价</w:t>
      </w:r>
      <w:r>
        <w:rPr>
          <w:rFonts w:hint="eastAsia" w:ascii="宋体" w:hAnsi="宋体"/>
        </w:rPr>
        <w:t>（含分项报价）</w:t>
      </w:r>
      <w:r>
        <w:rPr>
          <w:rFonts w:ascii="宋体" w:hAnsi="宋体"/>
        </w:rPr>
        <w:t>和总价有差异，则以单价</w:t>
      </w:r>
      <w:r>
        <w:rPr>
          <w:rFonts w:hint="eastAsia" w:ascii="宋体" w:hAnsi="宋体"/>
        </w:rPr>
        <w:t>（含分项报价）</w:t>
      </w:r>
      <w:r>
        <w:rPr>
          <w:rFonts w:ascii="宋体" w:hAnsi="宋体"/>
        </w:rPr>
        <w:t>为准，并对总价进行修正；若数字和文字表示的金额之间有差</w:t>
      </w:r>
      <w:r>
        <w:t>异，则以文字金额为准，并对数字做相应的修正；若正本与副本有差异，则以正本为准。</w:t>
      </w:r>
    </w:p>
    <w:p>
      <w:pPr>
        <w:spacing w:line="240" w:lineRule="auto"/>
        <w:rPr>
          <w:rFonts w:ascii="宋体" w:hAnsi="宋体"/>
          <w:b/>
        </w:rPr>
      </w:pPr>
      <w:r>
        <w:rPr>
          <w:rFonts w:hint="eastAsia" w:ascii="宋体" w:hAnsi="宋体"/>
          <w:b/>
        </w:rPr>
        <w:t>九、投标文件的递交</w:t>
      </w:r>
    </w:p>
    <w:p>
      <w:pPr>
        <w:numPr>
          <w:ilvl w:val="0"/>
          <w:numId w:val="8"/>
        </w:numPr>
        <w:spacing w:line="240" w:lineRule="auto"/>
        <w:ind w:left="0" w:leftChars="0" w:firstLine="480" w:firstLineChars="200"/>
        <w:rPr>
          <w:rFonts w:ascii="宋体" w:hAnsi="宋体"/>
          <w:kern w:val="0"/>
        </w:rPr>
      </w:pPr>
      <w:r>
        <w:rPr>
          <w:rFonts w:ascii="宋体" w:hAnsi="宋体"/>
          <w:kern w:val="0"/>
        </w:rPr>
        <w:t>投标文件有密封与标记</w:t>
      </w:r>
    </w:p>
    <w:p>
      <w:pPr>
        <w:widowControl/>
        <w:numPr>
          <w:ilvl w:val="0"/>
          <w:numId w:val="8"/>
        </w:numPr>
        <w:tabs>
          <w:tab w:val="left" w:pos="360"/>
          <w:tab w:val="left" w:pos="720"/>
          <w:tab w:val="left" w:pos="1050"/>
        </w:tabs>
        <w:spacing w:line="240" w:lineRule="auto"/>
        <w:ind w:left="0" w:leftChars="0" w:firstLine="480" w:firstLineChars="200"/>
        <w:jc w:val="left"/>
        <w:rPr>
          <w:rFonts w:hint="eastAsia" w:ascii="宋体" w:hAnsi="宋体"/>
          <w:kern w:val="0"/>
        </w:rPr>
      </w:pPr>
      <w:r>
        <w:rPr>
          <w:rFonts w:ascii="宋体" w:hAnsi="宋体"/>
          <w:kern w:val="0"/>
        </w:rPr>
        <w:t>投标文件的每份正本、副本均应用档案袋分别密封，密封上应加盖投标人公章。</w:t>
      </w:r>
    </w:p>
    <w:p>
      <w:pPr>
        <w:widowControl/>
        <w:numPr>
          <w:ilvl w:val="0"/>
          <w:numId w:val="8"/>
        </w:numPr>
        <w:spacing w:line="240" w:lineRule="auto"/>
        <w:ind w:left="0" w:leftChars="0" w:firstLine="480" w:firstLineChars="200"/>
        <w:jc w:val="left"/>
        <w:rPr>
          <w:rFonts w:hint="eastAsia" w:ascii="宋体" w:hAnsi="宋体"/>
          <w:kern w:val="0"/>
        </w:rPr>
      </w:pPr>
      <w:r>
        <w:rPr>
          <w:rFonts w:ascii="宋体" w:hAnsi="宋体"/>
          <w:kern w:val="0"/>
        </w:rPr>
        <w:t>投标商</w:t>
      </w:r>
      <w:r>
        <w:rPr>
          <w:rFonts w:hint="eastAsia" w:ascii="宋体" w:hAnsi="宋体"/>
          <w:kern w:val="0"/>
        </w:rPr>
        <w:t>应在开标前将投标文件送达到指定地点，逾期未到的都将视为弃权。如因特殊客观原因，投标人应于开标前告知招标人，并得到其同意者除外。</w:t>
      </w:r>
    </w:p>
    <w:p>
      <w:pPr>
        <w:widowControl/>
        <w:numPr>
          <w:ilvl w:val="0"/>
          <w:numId w:val="8"/>
        </w:numPr>
        <w:spacing w:line="240" w:lineRule="auto"/>
        <w:ind w:left="0" w:leftChars="0" w:firstLine="480" w:firstLineChars="200"/>
        <w:jc w:val="left"/>
        <w:rPr>
          <w:rFonts w:hint="eastAsia" w:ascii="宋体" w:hAnsi="宋体"/>
          <w:kern w:val="0"/>
        </w:rPr>
      </w:pPr>
      <w:r>
        <w:rPr>
          <w:rFonts w:hint="eastAsia" w:ascii="宋体" w:hAnsi="宋体"/>
          <w:kern w:val="0"/>
        </w:rPr>
        <w:t>投标人不得在开标当日至投标有效期满前撤回投标文件，否则其投标保证金将不予退还。</w:t>
      </w:r>
    </w:p>
    <w:p>
      <w:pPr>
        <w:tabs>
          <w:tab w:val="left" w:pos="735"/>
        </w:tabs>
        <w:spacing w:line="240" w:lineRule="auto"/>
        <w:rPr>
          <w:rFonts w:ascii="宋体" w:hAnsi="宋体"/>
          <w:b/>
        </w:rPr>
      </w:pPr>
      <w:r>
        <w:rPr>
          <w:rFonts w:hint="eastAsia" w:ascii="宋体" w:hAnsi="宋体"/>
          <w:b/>
        </w:rPr>
        <w:t>十、无效投标</w:t>
      </w:r>
    </w:p>
    <w:p>
      <w:pPr>
        <w:tabs>
          <w:tab w:val="left" w:pos="735"/>
        </w:tabs>
        <w:spacing w:line="240" w:lineRule="auto"/>
        <w:ind w:firstLine="480" w:firstLineChars="200"/>
        <w:rPr>
          <w:rFonts w:hint="eastAsia" w:ascii="宋体" w:hAnsi="宋体"/>
          <w:kern w:val="0"/>
        </w:rPr>
      </w:pPr>
      <w:r>
        <w:rPr>
          <w:rFonts w:hint="eastAsia" w:ascii="宋体" w:hAnsi="宋体"/>
          <w:kern w:val="0"/>
        </w:rPr>
        <w:t>发生下列情况之一者，视为无效投标。</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投标文件未按规定加盖公章和签字。</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投标文件字迹模糊、无法辨认影响评标的。</w:t>
      </w:r>
    </w:p>
    <w:p>
      <w:pPr>
        <w:widowControl/>
        <w:numPr>
          <w:ilvl w:val="0"/>
          <w:numId w:val="9"/>
        </w:numPr>
        <w:spacing w:line="240" w:lineRule="auto"/>
        <w:ind w:left="0" w:firstLine="480" w:firstLineChars="200"/>
        <w:jc w:val="left"/>
        <w:rPr>
          <w:rFonts w:ascii="宋体" w:hAnsi="宋体"/>
          <w:bCs/>
          <w:kern w:val="0"/>
        </w:rPr>
      </w:pPr>
      <w:r>
        <w:rPr>
          <w:rFonts w:hint="eastAsia" w:ascii="宋体" w:hAnsi="宋体"/>
          <w:bCs/>
          <w:kern w:val="0"/>
        </w:rPr>
        <w:t>授权委托书未加盖单位公章和法定代表人印章（或签字）的。</w:t>
      </w:r>
    </w:p>
    <w:p>
      <w:pPr>
        <w:widowControl/>
        <w:numPr>
          <w:ilvl w:val="0"/>
          <w:numId w:val="9"/>
        </w:numPr>
        <w:spacing w:line="240" w:lineRule="auto"/>
        <w:ind w:left="0" w:firstLine="480" w:firstLineChars="200"/>
        <w:jc w:val="left"/>
        <w:rPr>
          <w:rFonts w:ascii="宋体" w:hAnsi="宋体"/>
          <w:bCs/>
          <w:kern w:val="0"/>
        </w:rPr>
      </w:pPr>
      <w:r>
        <w:rPr>
          <w:rFonts w:hint="eastAsia"/>
          <w:kern w:val="0"/>
        </w:rPr>
        <w:t>投标人以任何形式干扰招投标工作公开、公正进行的。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投标人企业资质不全或无资质的。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附有招标人不能接受的条件的。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在投标文件中有两个以上的报价，且未明确哪个报价有效。</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以联合体方式投标而无共同投标协议的。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以他人名义投标的。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未按招标文件要求提交投标保证金的。</w:t>
      </w:r>
    </w:p>
    <w:p>
      <w:pPr>
        <w:widowControl/>
        <w:numPr>
          <w:ilvl w:val="0"/>
          <w:numId w:val="9"/>
        </w:numPr>
        <w:spacing w:line="240" w:lineRule="auto"/>
        <w:ind w:left="0" w:firstLine="480" w:firstLineChars="200"/>
        <w:jc w:val="left"/>
        <w:rPr>
          <w:rFonts w:hint="eastAsia" w:ascii="宋体" w:hAnsi="宋体"/>
          <w:bCs/>
          <w:kern w:val="0"/>
        </w:rPr>
      </w:pPr>
      <w:r>
        <w:rPr>
          <w:rFonts w:hint="eastAsia" w:ascii="宋体" w:hAnsi="宋体"/>
          <w:bCs/>
          <w:kern w:val="0"/>
        </w:rPr>
        <w:t>投标人串通投标、弄虚作假或者以行贿、欺骗等不正当手段谋取中标的。</w:t>
      </w:r>
    </w:p>
    <w:p>
      <w:pPr>
        <w:widowControl/>
        <w:numPr>
          <w:ilvl w:val="0"/>
          <w:numId w:val="9"/>
        </w:numPr>
        <w:spacing w:line="240" w:lineRule="auto"/>
        <w:ind w:left="0" w:firstLine="480" w:firstLineChars="200"/>
        <w:jc w:val="left"/>
        <w:rPr>
          <w:rFonts w:ascii="宋体" w:hAnsi="宋体"/>
          <w:b w:val="0"/>
          <w:bCs/>
        </w:rPr>
      </w:pPr>
      <w:r>
        <w:rPr>
          <w:rFonts w:hint="eastAsia" w:ascii="宋体" w:hAnsi="宋体"/>
          <w:b w:val="0"/>
          <w:bCs/>
          <w:kern w:val="0"/>
        </w:rPr>
        <w:t>投标文件与招标文件存在严重背离等其他问题的。</w:t>
      </w:r>
    </w:p>
    <w:p>
      <w:pPr>
        <w:spacing w:line="240" w:lineRule="auto"/>
        <w:rPr>
          <w:rFonts w:hint="eastAsia" w:ascii="宋体" w:hAnsi="宋体" w:eastAsia="宋体"/>
          <w:b/>
          <w:lang w:eastAsia="zh-CN"/>
        </w:rPr>
      </w:pPr>
      <w:r>
        <w:rPr>
          <w:rFonts w:hint="eastAsia" w:ascii="宋体" w:hAnsi="宋体"/>
          <w:b/>
        </w:rPr>
        <w:t>十一、</w:t>
      </w:r>
      <w:r>
        <w:rPr>
          <w:rFonts w:hint="eastAsia" w:ascii="宋体" w:hAnsi="宋体"/>
          <w:b/>
          <w:lang w:val="en-US" w:eastAsia="zh-CN"/>
        </w:rPr>
        <w:t>结算及付款方式：</w:t>
      </w:r>
    </w:p>
    <w:p>
      <w:pPr>
        <w:numPr>
          <w:ilvl w:val="0"/>
          <w:numId w:val="10"/>
        </w:numPr>
        <w:spacing w:line="240" w:lineRule="auto"/>
        <w:ind w:left="0" w:leftChars="0" w:firstLine="480" w:firstLineChars="200"/>
        <w:rPr>
          <w:rFonts w:ascii="宋体" w:hAnsi="宋体"/>
        </w:rPr>
      </w:pPr>
      <w:r>
        <w:rPr>
          <w:rFonts w:hint="eastAsia" w:ascii="宋体" w:hAnsi="宋体"/>
        </w:rPr>
        <w:t>本次绿化提升项目无进度款，所有项目竣工结束后由我方相关专业进行验收，验收合格后由我方当月上报资金付款计划，付款比例为80%，剩20%做为质保金，质保期满后结清。次月5日后根据计划由财务进行付款，付款为6个月承兑。</w:t>
      </w:r>
    </w:p>
    <w:p>
      <w:pPr>
        <w:numPr>
          <w:ilvl w:val="0"/>
          <w:numId w:val="10"/>
        </w:numPr>
        <w:spacing w:line="240" w:lineRule="auto"/>
        <w:ind w:left="0" w:leftChars="0" w:firstLine="480" w:firstLineChars="200"/>
        <w:rPr>
          <w:rFonts w:hint="eastAsia" w:ascii="宋体" w:hAnsi="宋体"/>
          <w:b/>
        </w:rPr>
      </w:pPr>
      <w:r>
        <w:rPr>
          <w:rFonts w:hint="eastAsia" w:ascii="宋体" w:hAnsi="宋体"/>
          <w:lang w:val="en-US" w:eastAsia="zh-CN"/>
        </w:rPr>
        <w:t>实施</w:t>
      </w:r>
      <w:r>
        <w:rPr>
          <w:rFonts w:hint="eastAsia" w:ascii="宋体" w:hAnsi="宋体"/>
        </w:rPr>
        <w:t>地点：芜湖新兴铸管有限责任公司三山区现场。</w:t>
      </w:r>
    </w:p>
    <w:p>
      <w:pPr>
        <w:numPr>
          <w:numId w:val="0"/>
        </w:numPr>
        <w:spacing w:line="240" w:lineRule="auto"/>
        <w:rPr>
          <w:rFonts w:hint="eastAsia" w:ascii="宋体" w:hAnsi="宋体"/>
          <w:b/>
        </w:rPr>
      </w:pPr>
      <w:r>
        <w:rPr>
          <w:rFonts w:hint="eastAsia" w:ascii="宋体" w:hAnsi="宋体"/>
          <w:b/>
        </w:rPr>
        <w:t>十二、评标标准</w:t>
      </w:r>
    </w:p>
    <w:p>
      <w:pPr>
        <w:spacing w:line="240" w:lineRule="auto"/>
        <w:ind w:left="730" w:leftChars="304"/>
        <w:rPr>
          <w:rFonts w:hint="eastAsia" w:ascii="宋体" w:hAnsi="宋体" w:cs="宋体"/>
        </w:rPr>
      </w:pPr>
      <w:r>
        <w:rPr>
          <w:rFonts w:hint="eastAsia" w:ascii="宋体" w:hAnsi="宋体" w:cs="宋体"/>
        </w:rPr>
        <w:t>本次采取综合评分方式进行评标。</w:t>
      </w:r>
    </w:p>
    <w:p>
      <w:pPr>
        <w:spacing w:line="240" w:lineRule="auto"/>
        <w:ind w:left="730" w:leftChars="304"/>
        <w:rPr>
          <w:rFonts w:hint="eastAsia" w:ascii="宋体" w:hAnsi="宋体" w:eastAsia="宋体" w:cs="宋体"/>
          <w:color w:val="auto"/>
          <w:sz w:val="24"/>
          <w:szCs w:val="24"/>
        </w:rPr>
      </w:pPr>
      <w:r>
        <w:rPr>
          <w:rFonts w:hint="eastAsia" w:ascii="宋体" w:hAnsi="宋体" w:eastAsia="宋体" w:cs="宋体"/>
          <w:color w:val="auto"/>
          <w:sz w:val="24"/>
          <w:szCs w:val="24"/>
        </w:rPr>
        <w:t>由评标委员会评分，按分数从高到低顺序推荐中标候选单位。</w:t>
      </w:r>
    </w:p>
    <w:p>
      <w:pPr>
        <w:spacing w:line="240" w:lineRule="auto"/>
        <w:ind w:left="730" w:leftChars="304"/>
        <w:rPr>
          <w:b/>
        </w:rPr>
      </w:pPr>
      <w:r>
        <w:rPr>
          <w:rFonts w:hint="eastAsia" w:ascii="宋体" w:hAnsi="宋体" w:cs="宋体"/>
          <w:color w:val="auto"/>
          <w:sz w:val="24"/>
          <w:szCs w:val="24"/>
          <w:lang w:val="en-US" w:eastAsia="zh-CN"/>
        </w:rPr>
        <w:t>评分标准：价格50分，质量30分；资质、装备及工艺技术水平、业绩5分，服务、工期及资金状况15分。</w:t>
      </w:r>
    </w:p>
    <w:p>
      <w:pPr>
        <w:spacing w:line="240" w:lineRule="auto"/>
        <w:rPr>
          <w:rFonts w:hint="eastAsia"/>
          <w:b/>
        </w:rPr>
      </w:pPr>
      <w:r>
        <w:rPr>
          <w:rFonts w:hint="eastAsia"/>
          <w:b/>
        </w:rPr>
        <w:t>十三、其他要求</w:t>
      </w:r>
    </w:p>
    <w:p>
      <w:pPr>
        <w:spacing w:line="240" w:lineRule="auto"/>
        <w:ind w:firstLine="480" w:firstLineChars="200"/>
        <w:jc w:val="left"/>
        <w:rPr>
          <w:rFonts w:hint="eastAsia"/>
        </w:rPr>
      </w:pPr>
      <w:r>
        <w:rPr>
          <w:rFonts w:hint="eastAsia"/>
        </w:rPr>
        <w:t>1、各种苗木按照甲方要求进厂，苗木质量达到A级标准，确保无病虫害，苗木包装完好，成活率达到100%，对不符合要求的苗木按实际金额扣除；</w:t>
      </w:r>
    </w:p>
    <w:p>
      <w:pPr>
        <w:spacing w:line="240" w:lineRule="auto"/>
        <w:ind w:firstLine="480"/>
        <w:jc w:val="left"/>
        <w:rPr>
          <w:rFonts w:hint="eastAsia" w:ascii="宋体" w:hAnsi="宋体"/>
          <w:color w:val="000000"/>
        </w:rPr>
      </w:pPr>
      <w:r>
        <w:rPr>
          <w:rFonts w:hint="eastAsia" w:ascii="宋体" w:hAnsi="宋体"/>
          <w:color w:val="000000"/>
        </w:rPr>
        <w:t>2、乙方进入甲方工作地点时，应严格遵守甲方的各项规章制度；</w:t>
      </w:r>
    </w:p>
    <w:p>
      <w:pPr>
        <w:spacing w:line="240" w:lineRule="auto"/>
        <w:ind w:firstLine="470"/>
        <w:jc w:val="left"/>
        <w:rPr>
          <w:rFonts w:hint="eastAsia" w:ascii="宋体" w:hAnsi="宋体"/>
          <w:color w:val="000000"/>
        </w:rPr>
      </w:pPr>
      <w:r>
        <w:rPr>
          <w:rFonts w:hint="eastAsia" w:ascii="宋体" w:hAnsi="宋体"/>
          <w:color w:val="000000"/>
        </w:rPr>
        <w:t>3、甲方要求乙方派专人到现场管理。加强队伍全面管理和教育，加强安全等方面的工作，因乙方原因出现各类安全事故由乙方承担责任。</w:t>
      </w:r>
    </w:p>
    <w:p>
      <w:pPr>
        <w:spacing w:line="240" w:lineRule="auto"/>
        <w:ind w:firstLine="470"/>
        <w:jc w:val="left"/>
        <w:rPr>
          <w:rFonts w:hint="eastAsia" w:ascii="宋体" w:hAnsi="宋体"/>
          <w:color w:val="000000"/>
        </w:rPr>
      </w:pPr>
      <w:r>
        <w:rPr>
          <w:rFonts w:hint="eastAsia" w:ascii="宋体" w:hAnsi="宋体"/>
          <w:color w:val="000000"/>
        </w:rPr>
        <w:t>4、对所栽苗木及绿化造景区域养护期为2年。</w:t>
      </w:r>
    </w:p>
    <w:p>
      <w:pPr>
        <w:spacing w:before="156" w:beforeLines="50" w:after="156" w:afterLines="50" w:line="240" w:lineRule="auto"/>
        <w:ind w:firstLine="480" w:firstLineChars="200"/>
        <w:jc w:val="left"/>
        <w:rPr>
          <w:rFonts w:hint="eastAsia" w:ascii="宋体" w:hAnsi="宋体"/>
        </w:rPr>
      </w:pPr>
      <w:r>
        <w:rPr>
          <w:rFonts w:hint="eastAsia" w:ascii="宋体" w:hAnsi="宋体"/>
        </w:rPr>
        <w:t>5、本项目实行总承包</w:t>
      </w:r>
      <w:r>
        <w:rPr>
          <w:rFonts w:hint="eastAsia" w:ascii="宋体" w:hAnsi="宋体" w:cs="宋体"/>
        </w:rPr>
        <w:t>（人工费、</w:t>
      </w:r>
      <w:r>
        <w:rPr>
          <w:rFonts w:hint="eastAsia" w:ascii="宋体" w:hAnsi="宋体"/>
        </w:rPr>
        <w:t>运输费、栽植费、管理费、税收、劳保费、检疫费、保活期费用及其它费用均由乙方承担） 。</w:t>
      </w:r>
    </w:p>
    <w:p>
      <w:pPr>
        <w:spacing w:before="156" w:beforeLines="50" w:after="156" w:afterLines="50" w:line="240" w:lineRule="auto"/>
        <w:ind w:firstLine="480" w:firstLineChars="200"/>
        <w:jc w:val="left"/>
        <w:rPr>
          <w:rFonts w:ascii="宋体" w:hAnsi="宋体" w:cs="宋体"/>
        </w:rPr>
      </w:pPr>
      <w:r>
        <w:rPr>
          <w:rFonts w:hint="eastAsia" w:ascii="宋体" w:hAnsi="宋体" w:cs="宋体"/>
          <w:bCs/>
        </w:rPr>
        <w:t>6、乙方</w:t>
      </w:r>
      <w:r>
        <w:rPr>
          <w:rFonts w:ascii="宋体" w:hAnsi="宋体" w:cs="宋体"/>
        </w:rPr>
        <w:t>中标后，不得以任何形式转包，如发现此类情况，</w:t>
      </w:r>
      <w:r>
        <w:rPr>
          <w:rFonts w:hint="eastAsia" w:ascii="宋体" w:hAnsi="宋体" w:cs="宋体"/>
        </w:rPr>
        <w:t>甲</w:t>
      </w:r>
      <w:r>
        <w:rPr>
          <w:rFonts w:ascii="宋体" w:hAnsi="宋体" w:cs="宋体"/>
        </w:rPr>
        <w:t>方有权中止合同并要求</w:t>
      </w:r>
      <w:r>
        <w:rPr>
          <w:rFonts w:hint="eastAsia" w:ascii="宋体" w:hAnsi="宋体" w:cs="宋体"/>
        </w:rPr>
        <w:t>乙</w:t>
      </w:r>
      <w:r>
        <w:rPr>
          <w:rFonts w:ascii="宋体" w:hAnsi="宋体" w:cs="宋体"/>
        </w:rPr>
        <w:t>方承担由此造成的一切经济损失。</w:t>
      </w:r>
    </w:p>
    <w:p>
      <w:pPr>
        <w:spacing w:before="156" w:beforeLines="50" w:after="156" w:afterLines="50" w:line="240" w:lineRule="auto"/>
        <w:ind w:firstLine="480" w:firstLineChars="200"/>
        <w:jc w:val="left"/>
        <w:rPr>
          <w:rFonts w:hint="eastAsia" w:ascii="宋体" w:hAnsi="宋体" w:cs="宋体"/>
        </w:rPr>
      </w:pPr>
      <w:r>
        <w:rPr>
          <w:rFonts w:hint="eastAsia" w:ascii="宋体" w:hAnsi="宋体" w:cs="宋体"/>
        </w:rPr>
        <w:t>7、报价时按照表格顺序报，不得打乱原有顺序，不得有缺项。</w:t>
      </w:r>
    </w:p>
    <w:p>
      <w:pPr>
        <w:adjustRightInd w:val="0"/>
        <w:snapToGrid w:val="0"/>
        <w:spacing w:line="240" w:lineRule="auto"/>
        <w:ind w:firstLine="480" w:firstLineChars="200"/>
        <w:jc w:val="left"/>
        <w:rPr>
          <w:rFonts w:hint="eastAsia" w:ascii="宋体" w:hAnsi="宋体"/>
        </w:rPr>
      </w:pPr>
      <w:r>
        <w:rPr>
          <w:rFonts w:hint="eastAsia" w:ascii="宋体" w:hAnsi="宋体"/>
        </w:rPr>
        <w:t>8、请各参标单位单独提供以下资料（复印件即可，但须加盖红色公章），以便到我公司财务办理保证金收据及后期保证金退款：</w:t>
      </w:r>
    </w:p>
    <w:p>
      <w:pPr>
        <w:numPr>
          <w:ilvl w:val="0"/>
          <w:numId w:val="11"/>
        </w:numPr>
        <w:adjustRightInd w:val="0"/>
        <w:snapToGrid w:val="0"/>
        <w:spacing w:line="240" w:lineRule="auto"/>
        <w:jc w:val="left"/>
        <w:rPr>
          <w:rFonts w:hint="eastAsia" w:ascii="宋体" w:hAnsi="宋体"/>
        </w:rPr>
      </w:pPr>
      <w:r>
        <w:rPr>
          <w:rFonts w:hint="eastAsia" w:ascii="宋体" w:hAnsi="宋体"/>
        </w:rPr>
        <w:t>公司营业执照；</w:t>
      </w:r>
    </w:p>
    <w:p>
      <w:pPr>
        <w:numPr>
          <w:ilvl w:val="0"/>
          <w:numId w:val="11"/>
        </w:numPr>
        <w:adjustRightInd w:val="0"/>
        <w:snapToGrid w:val="0"/>
        <w:spacing w:line="240" w:lineRule="auto"/>
        <w:jc w:val="left"/>
        <w:rPr>
          <w:rFonts w:hint="eastAsia" w:ascii="宋体" w:hAnsi="宋体"/>
        </w:rPr>
      </w:pPr>
      <w:r>
        <w:rPr>
          <w:rFonts w:hint="eastAsia" w:ascii="宋体" w:hAnsi="宋体"/>
        </w:rPr>
        <w:t>开户行许可证；</w:t>
      </w:r>
    </w:p>
    <w:p>
      <w:pPr>
        <w:numPr>
          <w:ilvl w:val="0"/>
          <w:numId w:val="11"/>
        </w:numPr>
        <w:adjustRightInd w:val="0"/>
        <w:snapToGrid w:val="0"/>
        <w:spacing w:line="240" w:lineRule="auto"/>
        <w:jc w:val="left"/>
        <w:rPr>
          <w:rFonts w:hint="eastAsia" w:ascii="宋体" w:hAnsi="宋体" w:cs="Times New Roman"/>
        </w:rPr>
      </w:pPr>
      <w:r>
        <w:rPr>
          <w:rFonts w:hint="eastAsia" w:ascii="宋体" w:hAnsi="宋体" w:cs="Times New Roman"/>
        </w:rPr>
        <w:t>被授权人身份证及授权委托书；</w:t>
      </w:r>
    </w:p>
    <w:p>
      <w:pPr>
        <w:numPr>
          <w:ilvl w:val="0"/>
          <w:numId w:val="11"/>
        </w:numPr>
        <w:adjustRightInd w:val="0"/>
        <w:snapToGrid w:val="0"/>
        <w:spacing w:line="240" w:lineRule="auto"/>
        <w:jc w:val="left"/>
        <w:rPr>
          <w:rFonts w:hint="eastAsia" w:ascii="宋体" w:hAnsi="宋体" w:cs="Times New Roman"/>
          <w:lang w:val="en-US" w:eastAsia="zh-CN"/>
        </w:rPr>
      </w:pPr>
      <w:r>
        <w:rPr>
          <w:rFonts w:hint="eastAsia" w:ascii="宋体" w:hAnsi="宋体" w:cs="Times New Roman"/>
        </w:rPr>
        <w:t>保证金汇款凭证</w:t>
      </w:r>
    </w:p>
    <w:p>
      <w:pPr>
        <w:numPr>
          <w:numId w:val="0"/>
        </w:numPr>
        <w:adjustRightInd w:val="0"/>
        <w:snapToGrid w:val="0"/>
        <w:spacing w:line="240" w:lineRule="auto"/>
        <w:ind w:firstLine="480" w:firstLineChars="200"/>
        <w:jc w:val="left"/>
        <w:rPr>
          <w:rFonts w:hint="eastAsia" w:ascii="宋体" w:hAnsi="宋体" w:cs="Times New Roman"/>
          <w:lang w:val="en-US" w:eastAsia="zh-CN"/>
        </w:rPr>
      </w:pPr>
      <w:bookmarkStart w:id="0" w:name="_GoBack"/>
      <w:bookmarkEnd w:id="0"/>
      <w:r>
        <w:rPr>
          <w:rFonts w:hint="eastAsia" w:ascii="宋体" w:hAnsi="宋体" w:cs="Times New Roman"/>
          <w:lang w:val="en-US" w:eastAsia="zh-CN"/>
        </w:rPr>
        <w:t>9、实施</w:t>
      </w:r>
      <w:r>
        <w:rPr>
          <w:rFonts w:hint="eastAsia" w:ascii="宋体" w:hAnsi="宋体" w:cs="Times New Roman"/>
        </w:rPr>
        <w:t>地点：芜湖新兴铸管有限责任公司三山区现场。</w:t>
      </w:r>
    </w:p>
    <w:p>
      <w:pPr>
        <w:numPr>
          <w:numId w:val="0"/>
        </w:numPr>
        <w:adjustRightInd w:val="0"/>
        <w:snapToGrid w:val="0"/>
        <w:spacing w:line="240" w:lineRule="auto"/>
        <w:jc w:val="left"/>
        <w:rPr>
          <w:rFonts w:hint="eastAsia" w:ascii="宋体" w:hAnsi="宋体"/>
          <w:b/>
          <w:bCs/>
          <w:sz w:val="28"/>
          <w:szCs w:val="28"/>
          <w:lang w:val="en-US" w:eastAsia="zh-CN"/>
        </w:rPr>
      </w:pPr>
    </w:p>
    <w:p>
      <w:pPr>
        <w:numPr>
          <w:numId w:val="0"/>
        </w:numPr>
        <w:adjustRightInd w:val="0"/>
        <w:snapToGrid w:val="0"/>
        <w:spacing w:line="240" w:lineRule="auto"/>
        <w:jc w:val="right"/>
        <w:rPr>
          <w:rFonts w:hint="eastAsia" w:ascii="宋体" w:hAnsi="宋体"/>
          <w:b/>
          <w:bCs/>
          <w:sz w:val="28"/>
          <w:szCs w:val="28"/>
          <w:lang w:val="en-US" w:eastAsia="zh-CN"/>
        </w:rPr>
      </w:pPr>
      <w:r>
        <w:rPr>
          <w:rFonts w:hint="eastAsia" w:ascii="宋体" w:hAnsi="宋体"/>
          <w:b/>
          <w:bCs/>
          <w:sz w:val="28"/>
          <w:szCs w:val="28"/>
          <w:lang w:val="en-US" w:eastAsia="zh-CN"/>
        </w:rPr>
        <w:t>芜湖新兴铸管有限责任公司</w:t>
      </w:r>
    </w:p>
    <w:p>
      <w:pPr>
        <w:numPr>
          <w:numId w:val="0"/>
        </w:numPr>
        <w:wordWrap w:val="0"/>
        <w:adjustRightInd w:val="0"/>
        <w:snapToGrid w:val="0"/>
        <w:spacing w:line="240" w:lineRule="auto"/>
        <w:jc w:val="right"/>
        <w:rPr>
          <w:rFonts w:hint="default" w:ascii="宋体" w:hAnsi="宋体"/>
          <w:lang w:val="en-US" w:eastAsia="zh-CN"/>
        </w:rPr>
      </w:pPr>
      <w:r>
        <w:rPr>
          <w:rFonts w:hint="eastAsia" w:ascii="宋体" w:hAnsi="宋体"/>
          <w:b/>
          <w:bCs/>
          <w:sz w:val="28"/>
          <w:szCs w:val="28"/>
          <w:lang w:val="en-US" w:eastAsia="zh-CN"/>
        </w:rPr>
        <w:t xml:space="preserve">2020-03-06  </w:t>
      </w:r>
      <w:r>
        <w:rPr>
          <w:rFonts w:hint="eastAsia" w:ascii="宋体" w:hAnsi="宋体"/>
          <w:lang w:val="en-US" w:eastAsia="zh-CN"/>
        </w:rPr>
        <w:t xml:space="preserve">  </w:t>
      </w:r>
    </w:p>
    <w:p>
      <w:pPr>
        <w:spacing w:line="240" w:lineRule="auto"/>
      </w:pPr>
    </w:p>
    <w:sectPr>
      <w:footerReference r:id="rId3" w:type="default"/>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fal">
    <w:altName w:val="宋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CFB70"/>
    <w:multiLevelType w:val="singleLevel"/>
    <w:tmpl w:val="88ACFB70"/>
    <w:lvl w:ilvl="0" w:tentative="0">
      <w:start w:val="1"/>
      <w:numFmt w:val="decimal"/>
      <w:suff w:val="nothing"/>
      <w:lvlText w:val="%1．"/>
      <w:lvlJc w:val="left"/>
      <w:pPr>
        <w:ind w:left="876" w:firstLine="400"/>
      </w:pPr>
      <w:rPr>
        <w:rFonts w:hint="default"/>
      </w:rPr>
    </w:lvl>
  </w:abstractNum>
  <w:abstractNum w:abstractNumId="1">
    <w:nsid w:val="9726F0C2"/>
    <w:multiLevelType w:val="singleLevel"/>
    <w:tmpl w:val="9726F0C2"/>
    <w:lvl w:ilvl="0" w:tentative="0">
      <w:start w:val="1"/>
      <w:numFmt w:val="decimal"/>
      <w:suff w:val="nothing"/>
      <w:lvlText w:val="%1．"/>
      <w:lvlJc w:val="left"/>
      <w:pPr>
        <w:ind w:left="0" w:firstLine="400"/>
      </w:pPr>
      <w:rPr>
        <w:rFonts w:hint="default"/>
      </w:rPr>
    </w:lvl>
  </w:abstractNum>
  <w:abstractNum w:abstractNumId="2">
    <w:nsid w:val="BEBFC349"/>
    <w:multiLevelType w:val="singleLevel"/>
    <w:tmpl w:val="BEBFC349"/>
    <w:lvl w:ilvl="0" w:tentative="0">
      <w:start w:val="1"/>
      <w:numFmt w:val="decimal"/>
      <w:suff w:val="nothing"/>
      <w:lvlText w:val="%1．"/>
      <w:lvlJc w:val="left"/>
      <w:pPr>
        <w:ind w:left="0" w:firstLine="400"/>
      </w:pPr>
      <w:rPr>
        <w:rFonts w:hint="default"/>
      </w:rPr>
    </w:lvl>
  </w:abstractNum>
  <w:abstractNum w:abstractNumId="3">
    <w:nsid w:val="DFF0FD42"/>
    <w:multiLevelType w:val="singleLevel"/>
    <w:tmpl w:val="DFF0FD42"/>
    <w:lvl w:ilvl="0" w:tentative="0">
      <w:start w:val="1"/>
      <w:numFmt w:val="decimal"/>
      <w:suff w:val="space"/>
      <w:lvlText w:val="%1."/>
      <w:lvlJc w:val="left"/>
    </w:lvl>
  </w:abstractNum>
  <w:abstractNum w:abstractNumId="4">
    <w:nsid w:val="FDEFB2C9"/>
    <w:multiLevelType w:val="singleLevel"/>
    <w:tmpl w:val="FDEFB2C9"/>
    <w:lvl w:ilvl="0" w:tentative="0">
      <w:start w:val="1"/>
      <w:numFmt w:val="decimal"/>
      <w:lvlText w:val="(%1)"/>
      <w:lvlJc w:val="left"/>
      <w:pPr>
        <w:ind w:left="425" w:hanging="425"/>
      </w:pPr>
      <w:rPr>
        <w:rFonts w:hint="default"/>
      </w:rPr>
    </w:lvl>
  </w:abstractNum>
  <w:abstractNum w:abstractNumId="5">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6">
    <w:nsid w:val="0000000B"/>
    <w:multiLevelType w:val="singleLevel"/>
    <w:tmpl w:val="0000000B"/>
    <w:lvl w:ilvl="0" w:tentative="0">
      <w:start w:val="1"/>
      <w:numFmt w:val="decimal"/>
      <w:lvlText w:val="（%1）"/>
      <w:lvlJc w:val="left"/>
      <w:pPr>
        <w:tabs>
          <w:tab w:val="left" w:pos="1125"/>
        </w:tabs>
        <w:ind w:left="1125" w:hanging="705"/>
      </w:pPr>
    </w:lvl>
  </w:abstractNum>
  <w:abstractNum w:abstractNumId="7">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56C915DC"/>
    <w:multiLevelType w:val="multilevel"/>
    <w:tmpl w:val="56C915DC"/>
    <w:lvl w:ilvl="0" w:tentative="0">
      <w:start w:val="1"/>
      <w:numFmt w:val="decimal"/>
      <w:lvlText w:val="%1）"/>
      <w:lvlJc w:val="left"/>
      <w:pPr>
        <w:ind w:left="1161" w:hanging="360"/>
      </w:pPr>
      <w:rPr>
        <w:rFonts w:hint="default"/>
      </w:rPr>
    </w:lvl>
    <w:lvl w:ilvl="1" w:tentative="0">
      <w:start w:val="1"/>
      <w:numFmt w:val="lowerLetter"/>
      <w:lvlText w:val="%2)"/>
      <w:lvlJc w:val="left"/>
      <w:pPr>
        <w:ind w:left="1641" w:hanging="420"/>
      </w:pPr>
    </w:lvl>
    <w:lvl w:ilvl="2" w:tentative="0">
      <w:start w:val="1"/>
      <w:numFmt w:val="lowerRoman"/>
      <w:lvlText w:val="%3."/>
      <w:lvlJc w:val="right"/>
      <w:pPr>
        <w:ind w:left="2061" w:hanging="420"/>
      </w:pPr>
    </w:lvl>
    <w:lvl w:ilvl="3" w:tentative="0">
      <w:start w:val="1"/>
      <w:numFmt w:val="decimal"/>
      <w:lvlText w:val="%4."/>
      <w:lvlJc w:val="left"/>
      <w:pPr>
        <w:ind w:left="2481" w:hanging="420"/>
      </w:pPr>
    </w:lvl>
    <w:lvl w:ilvl="4" w:tentative="0">
      <w:start w:val="1"/>
      <w:numFmt w:val="lowerLetter"/>
      <w:lvlText w:val="%5)"/>
      <w:lvlJc w:val="left"/>
      <w:pPr>
        <w:ind w:left="2901" w:hanging="420"/>
      </w:pPr>
    </w:lvl>
    <w:lvl w:ilvl="5" w:tentative="0">
      <w:start w:val="1"/>
      <w:numFmt w:val="lowerRoman"/>
      <w:lvlText w:val="%6."/>
      <w:lvlJc w:val="right"/>
      <w:pPr>
        <w:ind w:left="3321" w:hanging="420"/>
      </w:pPr>
    </w:lvl>
    <w:lvl w:ilvl="6" w:tentative="0">
      <w:start w:val="1"/>
      <w:numFmt w:val="decimal"/>
      <w:lvlText w:val="%7."/>
      <w:lvlJc w:val="left"/>
      <w:pPr>
        <w:ind w:left="3741" w:hanging="420"/>
      </w:pPr>
    </w:lvl>
    <w:lvl w:ilvl="7" w:tentative="0">
      <w:start w:val="1"/>
      <w:numFmt w:val="lowerLetter"/>
      <w:lvlText w:val="%8)"/>
      <w:lvlJc w:val="left"/>
      <w:pPr>
        <w:ind w:left="4161" w:hanging="420"/>
      </w:pPr>
    </w:lvl>
    <w:lvl w:ilvl="8" w:tentative="0">
      <w:start w:val="1"/>
      <w:numFmt w:val="lowerRoman"/>
      <w:lvlText w:val="%9."/>
      <w:lvlJc w:val="right"/>
      <w:pPr>
        <w:ind w:left="4581" w:hanging="420"/>
      </w:pPr>
    </w:lvl>
  </w:abstractNum>
  <w:abstractNum w:abstractNumId="9">
    <w:nsid w:val="5C8DB53C"/>
    <w:multiLevelType w:val="singleLevel"/>
    <w:tmpl w:val="5C8DB53C"/>
    <w:lvl w:ilvl="0" w:tentative="0">
      <w:start w:val="1"/>
      <w:numFmt w:val="decimal"/>
      <w:suff w:val="nothing"/>
      <w:lvlText w:val="%1．"/>
      <w:lvlJc w:val="left"/>
      <w:pPr>
        <w:ind w:left="0" w:firstLine="400"/>
      </w:pPr>
      <w:rPr>
        <w:rFonts w:hint="default"/>
      </w:rPr>
    </w:lvl>
  </w:abstractNum>
  <w:abstractNum w:abstractNumId="10">
    <w:nsid w:val="6DA18680"/>
    <w:multiLevelType w:val="singleLevel"/>
    <w:tmpl w:val="6DA18680"/>
    <w:lvl w:ilvl="0" w:tentative="0">
      <w:start w:val="1"/>
      <w:numFmt w:val="decimal"/>
      <w:suff w:val="nothing"/>
      <w:lvlText w:val="%1．"/>
      <w:lvlJc w:val="left"/>
      <w:pPr>
        <w:ind w:left="0" w:firstLine="400"/>
      </w:pPr>
      <w:rPr>
        <w:rFonts w:hint="default"/>
      </w:rPr>
    </w:lvl>
  </w:abstractNum>
  <w:num w:numId="1">
    <w:abstractNumId w:val="5"/>
    <w:lvlOverride w:ilvl="0">
      <w:startOverride w:val="1"/>
    </w:lvlOverride>
  </w:num>
  <w:num w:numId="2">
    <w:abstractNumId w:val="3"/>
  </w:num>
  <w:num w:numId="3">
    <w:abstractNumId w:val="4"/>
  </w:num>
  <w:num w:numId="4">
    <w:abstractNumId w:val="6"/>
    <w:lvlOverride w:ilvl="0">
      <w:startOverride w:val="1"/>
    </w:lvlOverride>
  </w:num>
  <w:num w:numId="5">
    <w:abstractNumId w:val="7"/>
  </w:num>
  <w:num w:numId="6">
    <w:abstractNumId w:val="9"/>
  </w:num>
  <w:num w:numId="7">
    <w:abstractNumId w:val="1"/>
  </w:num>
  <w:num w:numId="8">
    <w:abstractNumId w:val="10"/>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7D1E1B"/>
    <w:rsid w:val="1C597FEA"/>
    <w:rsid w:val="4F346C81"/>
    <w:rsid w:val="66B5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after="120" w:afterLines="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p0"/>
    <w:basedOn w:val="1"/>
    <w:uiPriority w:val="0"/>
  </w:style>
  <w:style w:type="paragraph" w:customStyle="1" w:styleId="7">
    <w:name w:val="Plain Text1"/>
    <w:basedOn w:val="1"/>
    <w:uiPriority w:val="0"/>
    <w:rPr>
      <w:rFonts w:ascii="宋体fal" w:hAnsi="Courier New" w:cs="宋体f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李全清</cp:lastModifiedBy>
  <dcterms:modified xsi:type="dcterms:W3CDTF">2020-03-06T02:20:30Z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