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240" w:lineRule="auto"/>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陆佰</w:t>
      </w:r>
      <w:r>
        <w:rPr>
          <w:rFonts w:hint="eastAsia" w:ascii="宋体" w:hAnsi="宋体"/>
          <w:b/>
          <w:bCs/>
          <w:color w:val="FF0000"/>
          <w:u w:val="single"/>
          <w:lang w:val="en-US" w:eastAsia="zh-CN"/>
        </w:rPr>
        <w:t>元整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u w:val="single"/>
          <w:lang w:val="en-US" w:eastAsia="zh-CN"/>
        </w:rPr>
        <w:t>2020</w:t>
      </w:r>
      <w:r>
        <w:rPr>
          <w:rFonts w:hint="eastAsia" w:ascii="宋体" w:hAnsi="宋体"/>
          <w:bCs/>
          <w:color w:val="7030A0"/>
        </w:rPr>
        <w:t>年</w:t>
      </w:r>
      <w:r>
        <w:rPr>
          <w:rFonts w:hint="eastAsia" w:ascii="宋体" w:hAnsi="宋体"/>
          <w:u w:val="single"/>
          <w:lang w:val="en-US" w:eastAsia="zh-CN"/>
        </w:rPr>
        <w:t>07</w:t>
      </w:r>
      <w:r>
        <w:rPr>
          <w:rFonts w:hint="eastAsia" w:ascii="宋体" w:hAnsi="宋体"/>
          <w:bCs/>
          <w:color w:val="7030A0"/>
        </w:rPr>
        <w:t>月</w:t>
      </w:r>
      <w:r>
        <w:rPr>
          <w:rFonts w:hint="eastAsia" w:ascii="宋体" w:hAnsi="宋体"/>
          <w:u w:val="single"/>
          <w:lang w:val="en-US" w:eastAsia="zh-CN"/>
        </w:rPr>
        <w:t>08</w:t>
      </w:r>
      <w:r>
        <w:rPr>
          <w:rFonts w:hint="eastAsia" w:ascii="宋体" w:hAnsi="宋体"/>
          <w:bCs/>
          <w:color w:val="7030A0"/>
        </w:rPr>
        <w:t>日</w:t>
      </w:r>
      <w:r>
        <w:rPr>
          <w:rFonts w:hint="eastAsia" w:ascii="宋体" w:hAnsi="宋体"/>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53" w:firstLineChars="689"/>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1653" w:firstLineChars="689"/>
        <w:rPr>
          <w:rFonts w:hint="eastAsia" w:ascii="宋体" w:hAnsi="宋体"/>
          <w:bCs/>
        </w:rPr>
      </w:pPr>
    </w:p>
    <w:p>
      <w:pPr>
        <w:numPr>
          <w:ilvl w:val="0"/>
          <w:numId w:val="1"/>
        </w:numPr>
        <w:spacing w:line="240" w:lineRule="auto"/>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numPr>
          <w:ilvl w:val="0"/>
          <w:numId w:val="1"/>
        </w:numPr>
        <w:spacing w:line="240" w:lineRule="auto"/>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numPr>
          <w:ilvl w:val="0"/>
          <w:numId w:val="1"/>
        </w:numPr>
        <w:spacing w:line="240" w:lineRule="auto"/>
        <w:rPr>
          <w:rFonts w:ascii="宋体" w:hAnsi="宋体"/>
          <w:b/>
        </w:rPr>
      </w:pPr>
      <w:r>
        <w:rPr>
          <w:rFonts w:hint="eastAsia" w:ascii="宋体" w:hAnsi="宋体"/>
          <w:b/>
        </w:rPr>
        <w:t>投标人要求</w:t>
      </w:r>
    </w:p>
    <w:p>
      <w:pPr>
        <w:numPr>
          <w:ilvl w:val="0"/>
          <w:numId w:val="2"/>
        </w:numPr>
        <w:spacing w:line="240" w:lineRule="auto"/>
        <w:ind w:left="285" w:leftChars="0"/>
        <w:rPr>
          <w:rFonts w:ascii="宋体" w:hAnsi="宋体"/>
        </w:rPr>
      </w:pPr>
      <w:r>
        <w:rPr>
          <w:rFonts w:hint="eastAsia" w:ascii="宋体" w:hAnsi="宋体"/>
        </w:rPr>
        <w:t>合格的投标人应具有圆满履行合同的能力，具体应符合下列条件：</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具有独立订立合同的权利。</w:t>
      </w:r>
    </w:p>
    <w:p>
      <w:pPr>
        <w:numPr>
          <w:ilvl w:val="0"/>
          <w:numId w:val="3"/>
        </w:numPr>
        <w:tabs>
          <w:tab w:val="left" w:pos="1125"/>
        </w:tabs>
        <w:spacing w:line="240" w:lineRule="auto"/>
        <w:ind w:left="1265" w:leftChars="0" w:hanging="425" w:firstLineChars="0"/>
        <w:rPr>
          <w:rFonts w:hint="eastAsia" w:ascii="宋体" w:hAnsi="宋体"/>
          <w:color w:val="FF0000"/>
        </w:rPr>
      </w:pPr>
      <w:r>
        <w:rPr>
          <w:rFonts w:hint="eastAsia" w:ascii="宋体" w:hAnsi="宋体"/>
        </w:rPr>
        <w:t>投标单位及作业人员需具有国家规定的害虫消杀相关资质证书。</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numPr>
          <w:ilvl w:val="0"/>
          <w:numId w:val="2"/>
        </w:numPr>
        <w:spacing w:line="240" w:lineRule="auto"/>
        <w:ind w:left="285" w:leftChars="0" w:firstLine="0" w:firstLineChars="0"/>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numPr>
          <w:ilvl w:val="0"/>
          <w:numId w:val="4"/>
        </w:numPr>
        <w:spacing w:line="240" w:lineRule="auto"/>
        <w:rPr>
          <w:rFonts w:hint="eastAsia" w:ascii="宋体" w:hAnsi="宋体"/>
        </w:rPr>
      </w:pPr>
      <w:r>
        <w:rPr>
          <w:rFonts w:hint="eastAsia" w:ascii="宋体" w:hAnsi="宋体"/>
        </w:rPr>
        <w:t>商务文件：</w:t>
      </w:r>
    </w:p>
    <w:p>
      <w:pPr>
        <w:numPr>
          <w:ilvl w:val="0"/>
          <w:numId w:val="5"/>
        </w:numPr>
        <w:spacing w:line="240" w:lineRule="auto"/>
        <w:ind w:firstLine="120"/>
        <w:rPr>
          <w:rFonts w:hint="eastAsia" w:ascii="宋体" w:hAnsi="宋体"/>
        </w:rPr>
      </w:pPr>
      <w:r>
        <w:rPr>
          <w:rFonts w:hint="eastAsia" w:ascii="宋体" w:hAnsi="宋体"/>
        </w:rPr>
        <w:t>投标人法定代表人授权书及授权代表身份证复印件。</w:t>
      </w:r>
    </w:p>
    <w:p>
      <w:pPr>
        <w:numPr>
          <w:ilvl w:val="0"/>
          <w:numId w:val="5"/>
        </w:numPr>
        <w:spacing w:line="240" w:lineRule="auto"/>
        <w:ind w:firstLine="120"/>
        <w:rPr>
          <w:rFonts w:ascii="宋体" w:hAnsi="宋体"/>
        </w:rPr>
      </w:pPr>
      <w:r>
        <w:rPr>
          <w:rFonts w:hint="eastAsia" w:ascii="宋体" w:hAnsi="宋体"/>
        </w:rPr>
        <w:t>企业法人营业执照及质量、环境、职业安全体系认证等。</w:t>
      </w:r>
    </w:p>
    <w:p>
      <w:pPr>
        <w:numPr>
          <w:ilvl w:val="0"/>
          <w:numId w:val="5"/>
        </w:numPr>
        <w:spacing w:line="240" w:lineRule="auto"/>
        <w:ind w:firstLine="120"/>
        <w:rPr>
          <w:rFonts w:hint="eastAsia" w:ascii="宋体" w:hAnsi="宋体"/>
        </w:rPr>
      </w:pPr>
      <w:r>
        <w:rPr>
          <w:rFonts w:hint="eastAsia" w:ascii="宋体" w:hAnsi="宋体"/>
        </w:rPr>
        <w:t>生产许可证、行业许可证、有关的鉴定材料等。</w:t>
      </w:r>
    </w:p>
    <w:p>
      <w:pPr>
        <w:numPr>
          <w:ilvl w:val="0"/>
          <w:numId w:val="5"/>
        </w:numPr>
        <w:spacing w:line="240" w:lineRule="auto"/>
        <w:ind w:firstLine="120"/>
        <w:rPr>
          <w:rFonts w:hint="eastAsia" w:ascii="宋体" w:hAnsi="宋体"/>
        </w:rPr>
      </w:pPr>
      <w:r>
        <w:rPr>
          <w:rFonts w:hint="eastAsia" w:ascii="宋体" w:hAnsi="宋体"/>
        </w:rPr>
        <w:t>近几年内与此项目相关的业绩合同。</w:t>
      </w:r>
    </w:p>
    <w:p>
      <w:pPr>
        <w:numPr>
          <w:ilvl w:val="0"/>
          <w:numId w:val="5"/>
        </w:numPr>
        <w:spacing w:line="240" w:lineRule="auto"/>
        <w:ind w:firstLine="120"/>
        <w:rPr>
          <w:rFonts w:hint="eastAsia" w:ascii="宋体" w:hAnsi="宋体"/>
        </w:rPr>
      </w:pPr>
      <w:r>
        <w:rPr>
          <w:rFonts w:hint="eastAsia" w:ascii="宋体" w:hAnsi="宋体"/>
        </w:rPr>
        <w:t>投标有效期。</w:t>
      </w:r>
    </w:p>
    <w:p>
      <w:pPr>
        <w:numPr>
          <w:ilvl w:val="0"/>
          <w:numId w:val="5"/>
        </w:numPr>
        <w:spacing w:line="240" w:lineRule="auto"/>
        <w:ind w:firstLine="120"/>
        <w:rPr>
          <w:rFonts w:hint="eastAsia" w:ascii="宋体" w:hAnsi="宋体"/>
          <w:bCs/>
        </w:rPr>
      </w:pPr>
      <w:r>
        <w:rPr>
          <w:rFonts w:hint="eastAsia" w:ascii="宋体" w:hAnsi="宋体"/>
          <w:bCs/>
        </w:rPr>
        <w:t>投标项目的具体明细（不含报价）。</w:t>
      </w:r>
    </w:p>
    <w:p>
      <w:pPr>
        <w:numPr>
          <w:ilvl w:val="0"/>
          <w:numId w:val="5"/>
        </w:numPr>
        <w:spacing w:line="240" w:lineRule="auto"/>
        <w:ind w:firstLine="120"/>
        <w:rPr>
          <w:rFonts w:ascii="宋体" w:hAnsi="宋体"/>
          <w:bCs/>
        </w:rPr>
      </w:pPr>
      <w:r>
        <w:rPr>
          <w:rFonts w:hint="eastAsia" w:ascii="宋体" w:hAnsi="宋体"/>
          <w:bCs/>
        </w:rPr>
        <w:t>联合体投标人提供的联合协议。</w:t>
      </w:r>
    </w:p>
    <w:p>
      <w:pPr>
        <w:numPr>
          <w:ilvl w:val="0"/>
          <w:numId w:val="4"/>
        </w:numPr>
        <w:spacing w:line="240" w:lineRule="auto"/>
        <w:rPr>
          <w:rFonts w:hint="eastAsia" w:ascii="宋体" w:hAnsi="宋体"/>
          <w:bCs/>
        </w:rPr>
      </w:pPr>
      <w:r>
        <w:rPr>
          <w:rFonts w:hint="eastAsia" w:ascii="宋体" w:hAnsi="宋体"/>
          <w:bCs/>
        </w:rPr>
        <w:t>技术文件：包括投标方案及其说明等。</w:t>
      </w:r>
    </w:p>
    <w:p>
      <w:pPr>
        <w:numPr>
          <w:ilvl w:val="0"/>
          <w:numId w:val="4"/>
        </w:numPr>
        <w:spacing w:line="240" w:lineRule="auto"/>
        <w:rPr>
          <w:rFonts w:ascii="宋体" w:hAnsi="宋体"/>
          <w:bCs/>
        </w:rPr>
      </w:pPr>
      <w:r>
        <w:rPr>
          <w:rFonts w:hint="eastAsia" w:ascii="宋体" w:hAnsi="宋体"/>
          <w:bCs/>
        </w:rPr>
        <w:t>价格文件：一份即可，必须单独密封。投标人必须填写投标报价表，并注明税率。</w:t>
      </w:r>
    </w:p>
    <w:p>
      <w:pPr>
        <w:numPr>
          <w:ilvl w:val="0"/>
          <w:numId w:val="4"/>
        </w:numPr>
        <w:spacing w:line="240" w:lineRule="auto"/>
        <w:ind w:left="1123" w:hanging="703"/>
        <w:rPr>
          <w:rFonts w:ascii="宋体" w:hAnsi="宋体"/>
        </w:rPr>
      </w:pPr>
      <w:r>
        <w:rPr>
          <w:rFonts w:hint="eastAsia" w:ascii="宋体" w:hAnsi="宋体"/>
          <w:bCs/>
        </w:rPr>
        <w:t>其它文件：包括</w:t>
      </w:r>
      <w:r>
        <w:rPr>
          <w:rFonts w:hint="eastAsia" w:ascii="宋体" w:hAnsi="宋体"/>
        </w:rPr>
        <w:t>商务、技术偏差表或不满足招标文件的差异说明，招标文件要求具备的其他内容，以及投标人额外承诺或补充说明等。对所安装的设备提供土建条件相关资料。</w:t>
      </w:r>
    </w:p>
    <w:p>
      <w:pPr>
        <w:spacing w:line="240" w:lineRule="auto"/>
        <w:rPr>
          <w:rFonts w:ascii="宋体" w:hAnsi="宋体"/>
          <w:b/>
        </w:rPr>
      </w:pPr>
      <w:r>
        <w:rPr>
          <w:rFonts w:hint="eastAsia" w:ascii="宋体" w:hAnsi="宋体"/>
          <w:b/>
        </w:rPr>
        <w:t>五、投标费用</w:t>
      </w:r>
    </w:p>
    <w:p>
      <w:pPr>
        <w:spacing w:line="240" w:lineRule="auto"/>
        <w:ind w:left="480" w:leftChars="200" w:firstLine="480" w:firstLine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spacing w:line="240" w:lineRule="auto"/>
        <w:rPr>
          <w:rFonts w:ascii="宋体" w:hAnsi="宋体"/>
          <w:b/>
        </w:rPr>
      </w:pPr>
      <w:r>
        <w:rPr>
          <w:rFonts w:hint="eastAsia" w:ascii="宋体" w:hAnsi="宋体"/>
          <w:b/>
        </w:rPr>
        <w:t>六、投标人建议</w:t>
      </w:r>
    </w:p>
    <w:p>
      <w:pPr>
        <w:spacing w:line="240" w:lineRule="auto"/>
        <w:ind w:left="480" w:firstLine="480" w:firstLineChars="200"/>
        <w:rPr>
          <w:rFonts w:ascii="宋体" w:hAnsi="宋体"/>
        </w:rPr>
      </w:pPr>
      <w:r>
        <w:rPr>
          <w:rFonts w:hint="eastAsia" w:ascii="宋体" w:hAnsi="宋体"/>
        </w:rPr>
        <w:t>投标人可提出补充建议或说明，提出比招标文件的要求更为合理的方案。</w:t>
      </w:r>
    </w:p>
    <w:p>
      <w:pPr>
        <w:spacing w:line="240" w:lineRule="auto"/>
        <w:rPr>
          <w:rFonts w:hint="eastAsia" w:ascii="宋体" w:hAnsi="宋体"/>
          <w:b/>
        </w:rPr>
      </w:pPr>
      <w:r>
        <w:rPr>
          <w:rFonts w:hint="eastAsia" w:ascii="宋体" w:hAnsi="宋体"/>
          <w:b/>
        </w:rPr>
        <w:t>七、投标文件的份数和签署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四</w:t>
      </w:r>
      <w:r>
        <w:rPr>
          <w:rFonts w:ascii="宋体" w:hAnsi="宋体"/>
        </w:rPr>
        <w:t>份，正本一份，副本</w:t>
      </w:r>
      <w:r>
        <w:rPr>
          <w:rFonts w:hint="eastAsia" w:ascii="宋体" w:hAnsi="宋体"/>
        </w:rPr>
        <w:t>三</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hint="eastAsia"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rPr>
        <w:t>八、投标报价</w:t>
      </w:r>
    </w:p>
    <w:p>
      <w:pPr>
        <w:pStyle w:val="6"/>
        <w:numPr>
          <w:ilvl w:val="0"/>
          <w:numId w:val="7"/>
        </w:numPr>
        <w:spacing w:line="240" w:lineRule="auto"/>
        <w:ind w:left="0" w:leftChars="0" w:firstLine="480" w:firstLineChars="200"/>
        <w:rPr>
          <w:rFonts w:hint="eastAsia" w:ascii="宋体" w:hAnsi="宋体"/>
          <w:b/>
          <w:bCs/>
        </w:rPr>
      </w:pPr>
      <w:r>
        <w:rPr>
          <w:rFonts w:ascii="宋体" w:hAnsi="宋体"/>
        </w:rPr>
        <w:t>投标人应严格按照招标文件提供的格式认真填写价格表。</w:t>
      </w:r>
    </w:p>
    <w:p>
      <w:pPr>
        <w:pStyle w:val="6"/>
        <w:numPr>
          <w:ilvl w:val="0"/>
          <w:numId w:val="7"/>
        </w:numPr>
        <w:spacing w:line="240" w:lineRule="auto"/>
        <w:ind w:left="0" w:leftChars="0" w:firstLine="480" w:firstLineChars="200"/>
        <w:rPr>
          <w:rFonts w:hint="eastAsia" w:ascii="宋体" w:hAnsi="宋体"/>
          <w:b/>
          <w:bCs/>
          <w:color w:val="FF0000"/>
        </w:rPr>
      </w:pPr>
      <w:r>
        <w:t>若单</w:t>
      </w:r>
      <w:r>
        <w:rPr>
          <w:rFonts w:ascii="宋体" w:hAnsi="宋体"/>
        </w:rPr>
        <w:t>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w:t>
      </w:r>
      <w:r>
        <w:t>异，则以文字金额为准，并对数字做相应的修正；若正本与副本有差异，则以正本为准。</w:t>
      </w:r>
    </w:p>
    <w:p>
      <w:pPr>
        <w:spacing w:line="240" w:lineRule="auto"/>
        <w:rPr>
          <w:rFonts w:ascii="宋体" w:hAnsi="宋体"/>
          <w:b/>
        </w:rPr>
      </w:pPr>
      <w:r>
        <w:rPr>
          <w:rFonts w:hint="eastAsia" w:ascii="宋体" w:hAnsi="宋体"/>
          <w:b/>
        </w:rPr>
        <w:t>九、投标文件的递交</w:t>
      </w:r>
    </w:p>
    <w:p>
      <w:pPr>
        <w:numPr>
          <w:ilvl w:val="0"/>
          <w:numId w:val="8"/>
        </w:numPr>
        <w:spacing w:line="240" w:lineRule="auto"/>
        <w:ind w:left="0" w:leftChars="0" w:firstLine="480" w:firstLineChars="200"/>
        <w:rPr>
          <w:rFonts w:ascii="宋体" w:hAnsi="宋体"/>
          <w:kern w:val="0"/>
        </w:rPr>
      </w:pPr>
      <w:r>
        <w:rPr>
          <w:rFonts w:ascii="宋体" w:hAnsi="宋体"/>
          <w:kern w:val="0"/>
        </w:rPr>
        <w:t>投标文件有密封与标记</w:t>
      </w:r>
      <w:r>
        <w:rPr>
          <w:rFonts w:hint="eastAsia" w:ascii="宋体" w:hAnsi="宋体"/>
          <w:kern w:val="0"/>
          <w:lang w:eastAsia="zh-CN"/>
        </w:rPr>
        <w:t>。</w:t>
      </w:r>
    </w:p>
    <w:p>
      <w:pPr>
        <w:widowControl/>
        <w:numPr>
          <w:ilvl w:val="0"/>
          <w:numId w:val="8"/>
        </w:numPr>
        <w:tabs>
          <w:tab w:val="left" w:pos="360"/>
          <w:tab w:val="left" w:pos="720"/>
          <w:tab w:val="left" w:pos="1050"/>
        </w:tabs>
        <w:spacing w:line="240" w:lineRule="auto"/>
        <w:ind w:left="0" w:leftChars="0" w:firstLine="480" w:firstLineChars="200"/>
        <w:jc w:val="left"/>
        <w:rPr>
          <w:rFonts w:hint="eastAsia" w:ascii="宋体" w:hAnsi="宋体"/>
          <w:kern w:val="0"/>
        </w:rPr>
      </w:pPr>
      <w:r>
        <w:rPr>
          <w:rFonts w:ascii="宋体" w:hAnsi="宋体"/>
          <w:kern w:val="0"/>
        </w:rPr>
        <w:t>投标文件的每份正本、副本均应用档案袋分别密封，密封上应加盖投标人公章。</w:t>
      </w:r>
    </w:p>
    <w:p>
      <w:pPr>
        <w:widowControl/>
        <w:numPr>
          <w:ilvl w:val="0"/>
          <w:numId w:val="8"/>
        </w:numPr>
        <w:spacing w:line="240" w:lineRule="auto"/>
        <w:ind w:left="0" w:leftChars="0" w:firstLine="480" w:firstLineChars="200"/>
        <w:jc w:val="left"/>
        <w:rPr>
          <w:rFonts w:hint="eastAsia" w:ascii="宋体" w:hAnsi="宋体"/>
          <w:kern w:val="0"/>
        </w:rPr>
      </w:pPr>
      <w:r>
        <w:rPr>
          <w:rFonts w:ascii="宋体" w:hAnsi="宋体"/>
          <w:kern w:val="0"/>
        </w:rPr>
        <w:t>投标商</w:t>
      </w:r>
      <w:r>
        <w:rPr>
          <w:rFonts w:hint="eastAsia" w:ascii="宋体" w:hAnsi="宋体"/>
          <w:kern w:val="0"/>
        </w:rPr>
        <w:t>应在开标前将投标文件送达到指定地点，逾期未到的都将视为弃权。如因特殊客观原因，投标人应于开标前告知招标人，并得到其同意者除外。</w:t>
      </w:r>
    </w:p>
    <w:p>
      <w:pPr>
        <w:widowControl/>
        <w:numPr>
          <w:ilvl w:val="0"/>
          <w:numId w:val="8"/>
        </w:numPr>
        <w:spacing w:line="240" w:lineRule="auto"/>
        <w:ind w:left="0" w:leftChars="0" w:firstLine="480" w:firstLineChars="200"/>
        <w:jc w:val="left"/>
        <w:rPr>
          <w:rFonts w:hint="eastAsia" w:ascii="宋体" w:hAnsi="宋体"/>
          <w:kern w:val="0"/>
        </w:rPr>
      </w:pPr>
      <w:r>
        <w:rPr>
          <w:rFonts w:hint="eastAsia" w:ascii="宋体" w:hAnsi="宋体"/>
          <w:kern w:val="0"/>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十、无效投标</w:t>
      </w:r>
    </w:p>
    <w:p>
      <w:pPr>
        <w:tabs>
          <w:tab w:val="left" w:pos="735"/>
        </w:tabs>
        <w:spacing w:line="240" w:lineRule="auto"/>
        <w:ind w:firstLine="480" w:firstLineChars="200"/>
        <w:rPr>
          <w:rFonts w:hint="eastAsia" w:ascii="宋体" w:hAnsi="宋体"/>
          <w:kern w:val="0"/>
        </w:rPr>
      </w:pPr>
      <w:r>
        <w:rPr>
          <w:rFonts w:hint="eastAsia" w:ascii="宋体" w:hAnsi="宋体"/>
          <w:kern w:val="0"/>
        </w:rPr>
        <w:t>发生下列情况之一者，视为无效投标。</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投标文件未按规定加盖公章和签字。</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投标文件字迹模糊、无法辨认影响评标的。</w:t>
      </w:r>
    </w:p>
    <w:p>
      <w:pPr>
        <w:widowControl/>
        <w:numPr>
          <w:ilvl w:val="0"/>
          <w:numId w:val="9"/>
        </w:numPr>
        <w:spacing w:line="240" w:lineRule="auto"/>
        <w:ind w:left="0" w:firstLine="480" w:firstLineChars="200"/>
        <w:jc w:val="left"/>
        <w:rPr>
          <w:rFonts w:ascii="宋体" w:hAnsi="宋体"/>
          <w:bCs/>
          <w:kern w:val="0"/>
        </w:rPr>
      </w:pPr>
      <w:r>
        <w:rPr>
          <w:rFonts w:hint="eastAsia" w:ascii="宋体" w:hAnsi="宋体"/>
          <w:bCs/>
          <w:kern w:val="0"/>
        </w:rPr>
        <w:t>授权委托书未加盖单位公章和法定代表人印章（或签字）的。</w:t>
      </w:r>
    </w:p>
    <w:p>
      <w:pPr>
        <w:widowControl/>
        <w:numPr>
          <w:ilvl w:val="0"/>
          <w:numId w:val="9"/>
        </w:numPr>
        <w:spacing w:line="240" w:lineRule="auto"/>
        <w:ind w:left="0" w:firstLine="480" w:firstLineChars="200"/>
        <w:jc w:val="left"/>
        <w:rPr>
          <w:rFonts w:ascii="宋体" w:hAnsi="宋体"/>
          <w:bCs/>
          <w:kern w:val="0"/>
        </w:rPr>
      </w:pPr>
      <w:r>
        <w:rPr>
          <w:rFonts w:hint="eastAsia"/>
          <w:kern w:val="0"/>
        </w:rPr>
        <w:t>投标人以任何形式干扰招投标工作公开、公正进行的。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投标人企业资质不全或无资质的。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附有招标人不能接受的条件的。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在投标文件中有两个以上的报价，且未明确哪个报价有效。</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以联合体方式投标而无共同投标协议的。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以他人名义投标的。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未按招标文件要求提交投标保证金的。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投标人串通投标、弄虚作假或者以行贿、欺骗等不正当手段谋取中标的。</w:t>
      </w:r>
    </w:p>
    <w:p>
      <w:pPr>
        <w:widowControl/>
        <w:numPr>
          <w:ilvl w:val="0"/>
          <w:numId w:val="9"/>
        </w:numPr>
        <w:spacing w:line="240" w:lineRule="auto"/>
        <w:ind w:left="0" w:firstLine="480" w:firstLineChars="200"/>
        <w:jc w:val="left"/>
        <w:rPr>
          <w:rFonts w:ascii="宋体" w:hAnsi="宋体"/>
          <w:b w:val="0"/>
          <w:bCs/>
        </w:rPr>
      </w:pPr>
      <w:r>
        <w:rPr>
          <w:rFonts w:hint="eastAsia" w:ascii="宋体" w:hAnsi="宋体"/>
          <w:b w:val="0"/>
          <w:bCs/>
          <w:kern w:val="0"/>
        </w:rPr>
        <w:t>投标文件与招标文件存在严重背离等其他问题的。</w:t>
      </w:r>
    </w:p>
    <w:p>
      <w:pPr>
        <w:spacing w:line="240" w:lineRule="auto"/>
        <w:rPr>
          <w:rFonts w:hint="eastAsia" w:ascii="宋体" w:hAnsi="宋体" w:eastAsia="宋体"/>
          <w:b/>
          <w:lang w:eastAsia="zh-CN"/>
        </w:rPr>
      </w:pPr>
      <w:r>
        <w:rPr>
          <w:rFonts w:hint="eastAsia" w:ascii="宋体" w:hAnsi="宋体"/>
          <w:b/>
        </w:rPr>
        <w:t>十一、</w:t>
      </w:r>
      <w:r>
        <w:rPr>
          <w:rFonts w:hint="eastAsia" w:ascii="宋体" w:hAnsi="宋体"/>
          <w:b/>
          <w:lang w:val="en-US" w:eastAsia="zh-CN"/>
        </w:rPr>
        <w:t>结算及付款方式：</w:t>
      </w:r>
    </w:p>
    <w:p>
      <w:pPr>
        <w:numPr>
          <w:ilvl w:val="0"/>
          <w:numId w:val="10"/>
        </w:numPr>
        <w:spacing w:line="240" w:lineRule="auto"/>
        <w:ind w:left="0" w:leftChars="0" w:firstLine="480" w:firstLineChars="200"/>
        <w:rPr>
          <w:rFonts w:ascii="宋体" w:hAnsi="宋体"/>
        </w:rPr>
      </w:pPr>
      <w:r>
        <w:rPr>
          <w:rFonts w:hint="eastAsia" w:ascii="宋体" w:hAnsi="宋体"/>
          <w:lang w:val="en-US" w:eastAsia="zh-CN"/>
        </w:rPr>
        <w:t>承包费用按季度分期支付，由乙方开具符合财务规定的票据，并经甲方审核、批准后，每季度最后一个月上报验收评价表经业主确认签字，付款方式：现汇转账。</w:t>
      </w:r>
    </w:p>
    <w:p>
      <w:pPr>
        <w:numPr>
          <w:ilvl w:val="0"/>
          <w:numId w:val="0"/>
        </w:numPr>
        <w:spacing w:line="240" w:lineRule="auto"/>
        <w:rPr>
          <w:rFonts w:hint="eastAsia" w:ascii="宋体" w:hAnsi="宋体"/>
          <w:b/>
        </w:rPr>
      </w:pPr>
      <w:r>
        <w:rPr>
          <w:rFonts w:hint="eastAsia" w:ascii="宋体" w:hAnsi="宋体"/>
          <w:b/>
        </w:rPr>
        <w:t>十二、评标标准</w:t>
      </w:r>
    </w:p>
    <w:p>
      <w:pPr>
        <w:spacing w:line="240" w:lineRule="auto"/>
        <w:ind w:left="730" w:leftChars="304"/>
        <w:rPr>
          <w:rFonts w:hint="eastAsia" w:ascii="宋体" w:hAnsi="宋体" w:cs="宋体"/>
        </w:rPr>
      </w:pPr>
      <w:r>
        <w:rPr>
          <w:rFonts w:hint="eastAsia" w:ascii="宋体" w:hAnsi="宋体" w:cs="宋体"/>
        </w:rPr>
        <w:t>本次采取综合评分方式进行评标。</w:t>
      </w:r>
    </w:p>
    <w:p>
      <w:pPr>
        <w:spacing w:line="240" w:lineRule="auto"/>
        <w:ind w:left="730" w:leftChars="304"/>
        <w:rPr>
          <w:rFonts w:hint="default" w:ascii="宋体" w:hAnsi="宋体" w:eastAsia="宋体" w:cs="宋体"/>
          <w:lang w:val="en-US" w:eastAsia="zh-CN"/>
        </w:rPr>
      </w:pPr>
      <w:r>
        <w:rPr>
          <w:rFonts w:hint="eastAsia" w:ascii="宋体" w:hAnsi="宋体" w:cs="宋体"/>
          <w:lang w:val="en-US" w:eastAsia="zh-CN"/>
        </w:rPr>
        <w:t>本次招标采用一次报价评标。</w:t>
      </w:r>
    </w:p>
    <w:p>
      <w:pPr>
        <w:spacing w:line="240" w:lineRule="auto"/>
        <w:ind w:left="730"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spacing w:line="240" w:lineRule="auto"/>
        <w:ind w:left="730" w:leftChars="304"/>
        <w:rPr>
          <w:b/>
        </w:rPr>
      </w:pPr>
      <w:r>
        <w:rPr>
          <w:rFonts w:hint="eastAsia" w:ascii="宋体" w:hAnsi="宋体" w:cs="宋体"/>
          <w:color w:val="auto"/>
          <w:sz w:val="24"/>
          <w:szCs w:val="24"/>
          <w:lang w:val="en-US" w:eastAsia="zh-CN"/>
        </w:rPr>
        <w:t>评分标准：价格60分，资质20分，业绩20分。</w:t>
      </w:r>
    </w:p>
    <w:p>
      <w:pPr>
        <w:spacing w:line="240" w:lineRule="auto"/>
        <w:rPr>
          <w:rFonts w:hint="eastAsia"/>
          <w:b/>
        </w:rPr>
      </w:pPr>
      <w:r>
        <w:rPr>
          <w:rFonts w:hint="eastAsia"/>
          <w:b/>
        </w:rPr>
        <w:t>十三、其他要求</w:t>
      </w:r>
    </w:p>
    <w:p>
      <w:pPr>
        <w:numPr>
          <w:ilvl w:val="0"/>
          <w:numId w:val="0"/>
        </w:numPr>
        <w:adjustRightInd w:val="0"/>
        <w:snapToGrid w:val="0"/>
        <w:spacing w:line="240" w:lineRule="auto"/>
        <w:ind w:firstLine="480" w:firstLineChars="200"/>
        <w:jc w:val="left"/>
        <w:rPr>
          <w:rFonts w:hint="eastAsia"/>
        </w:rPr>
      </w:pPr>
      <w:r>
        <w:rPr>
          <w:rFonts w:hint="eastAsia"/>
        </w:rPr>
        <w:t>一、承包范围：主副办公楼、综合楼食堂浴室、单身楼及招待所、荷塘月色公寓等。</w:t>
      </w:r>
    </w:p>
    <w:p>
      <w:pPr>
        <w:numPr>
          <w:ilvl w:val="0"/>
          <w:numId w:val="0"/>
        </w:numPr>
        <w:adjustRightInd w:val="0"/>
        <w:snapToGrid w:val="0"/>
        <w:spacing w:line="240" w:lineRule="auto"/>
        <w:ind w:firstLine="480" w:firstLineChars="200"/>
        <w:jc w:val="left"/>
        <w:rPr>
          <w:rFonts w:hint="eastAsia"/>
        </w:rPr>
      </w:pPr>
      <w:r>
        <w:rPr>
          <w:rFonts w:hint="eastAsia"/>
        </w:rPr>
        <w:t>二、效果标准</w:t>
      </w:r>
    </w:p>
    <w:p>
      <w:pPr>
        <w:numPr>
          <w:ilvl w:val="0"/>
          <w:numId w:val="0"/>
        </w:numPr>
        <w:adjustRightInd w:val="0"/>
        <w:snapToGrid w:val="0"/>
        <w:spacing w:line="240" w:lineRule="auto"/>
        <w:ind w:firstLine="480" w:firstLineChars="200"/>
        <w:jc w:val="left"/>
        <w:rPr>
          <w:rFonts w:hint="eastAsia"/>
        </w:rPr>
      </w:pPr>
      <w:r>
        <w:rPr>
          <w:rFonts w:hint="eastAsia"/>
        </w:rPr>
        <w:t>1、老鼠防治应达到的标准：</w:t>
      </w:r>
    </w:p>
    <w:p>
      <w:pPr>
        <w:numPr>
          <w:ilvl w:val="0"/>
          <w:numId w:val="0"/>
        </w:numPr>
        <w:adjustRightInd w:val="0"/>
        <w:snapToGrid w:val="0"/>
        <w:spacing w:line="240" w:lineRule="auto"/>
        <w:ind w:firstLine="480" w:firstLineChars="200"/>
        <w:jc w:val="left"/>
        <w:rPr>
          <w:rFonts w:hint="eastAsia"/>
        </w:rPr>
      </w:pPr>
      <w:r>
        <w:rPr>
          <w:rFonts w:hint="eastAsia"/>
        </w:rPr>
        <w:t>A、达到中央爱卫会规定的无鼠害标准，即：突击实施一个月后粉迹测定一夜后阳性粉块不超过 2%</w:t>
      </w:r>
      <w:r>
        <w:rPr>
          <w:rFonts w:hint="eastAsia"/>
          <w:lang w:eastAsia="zh-CN"/>
        </w:rPr>
        <w:t>，</w:t>
      </w:r>
      <w:r>
        <w:rPr>
          <w:rFonts w:hint="eastAsia"/>
        </w:rPr>
        <w:t>每月进行一次鼠情监测。</w:t>
      </w:r>
    </w:p>
    <w:p>
      <w:pPr>
        <w:numPr>
          <w:ilvl w:val="0"/>
          <w:numId w:val="0"/>
        </w:numPr>
        <w:adjustRightInd w:val="0"/>
        <w:snapToGrid w:val="0"/>
        <w:spacing w:line="240" w:lineRule="auto"/>
        <w:ind w:firstLine="480" w:firstLineChars="200"/>
        <w:jc w:val="left"/>
        <w:rPr>
          <w:rFonts w:hint="eastAsia"/>
        </w:rPr>
      </w:pPr>
      <w:r>
        <w:rPr>
          <w:rFonts w:hint="eastAsia"/>
        </w:rPr>
        <w:t>B、鼠粪、鼠洞、鼠咬痕迹的阳性率低于 2%，防鼠设施不合格率不超过 3%。</w:t>
      </w:r>
    </w:p>
    <w:p>
      <w:pPr>
        <w:numPr>
          <w:ilvl w:val="0"/>
          <w:numId w:val="0"/>
        </w:numPr>
        <w:adjustRightInd w:val="0"/>
        <w:snapToGrid w:val="0"/>
        <w:spacing w:line="240" w:lineRule="auto"/>
        <w:ind w:firstLine="480" w:firstLineChars="200"/>
        <w:jc w:val="left"/>
        <w:rPr>
          <w:rFonts w:hint="eastAsia"/>
        </w:rPr>
      </w:pPr>
      <w:r>
        <w:rPr>
          <w:rFonts w:hint="eastAsia"/>
        </w:rPr>
        <w:t>C、得到有效控制，近似达到无鼠害标准。</w:t>
      </w:r>
    </w:p>
    <w:p>
      <w:pPr>
        <w:numPr>
          <w:ilvl w:val="0"/>
          <w:numId w:val="0"/>
        </w:numPr>
        <w:adjustRightInd w:val="0"/>
        <w:snapToGrid w:val="0"/>
        <w:spacing w:line="240" w:lineRule="auto"/>
        <w:ind w:firstLine="480" w:firstLineChars="200"/>
        <w:jc w:val="left"/>
        <w:rPr>
          <w:rFonts w:hint="eastAsia"/>
        </w:rPr>
      </w:pPr>
      <w:r>
        <w:rPr>
          <w:rFonts w:hint="eastAsia"/>
        </w:rPr>
        <w:t>2、蟑螂防治应达到的标准：</w:t>
      </w:r>
    </w:p>
    <w:p>
      <w:pPr>
        <w:numPr>
          <w:ilvl w:val="0"/>
          <w:numId w:val="0"/>
        </w:numPr>
        <w:adjustRightInd w:val="0"/>
        <w:snapToGrid w:val="0"/>
        <w:spacing w:line="240" w:lineRule="auto"/>
        <w:ind w:firstLine="480" w:firstLineChars="200"/>
        <w:jc w:val="left"/>
        <w:rPr>
          <w:rFonts w:hint="eastAsia"/>
        </w:rPr>
      </w:pPr>
      <w:r>
        <w:rPr>
          <w:rFonts w:hint="eastAsia"/>
        </w:rPr>
        <w:t>A、达到中央爱卫会规定的无蟑螂害标准，即药激法（0.3%二氯苯醚菊脂）检查室内有蟑螂成虫或若虫阳性房间不超过 3%。平均每间房大蠊不超过 0.5 只，小蠊不超过 1 只，每月进行一次密度监测。</w:t>
      </w:r>
    </w:p>
    <w:p>
      <w:pPr>
        <w:numPr>
          <w:ilvl w:val="0"/>
          <w:numId w:val="0"/>
        </w:numPr>
        <w:adjustRightInd w:val="0"/>
        <w:snapToGrid w:val="0"/>
        <w:spacing w:line="240" w:lineRule="auto"/>
        <w:ind w:firstLine="480" w:firstLineChars="200"/>
        <w:jc w:val="left"/>
        <w:rPr>
          <w:rFonts w:hint="eastAsia"/>
        </w:rPr>
      </w:pPr>
      <w:r>
        <w:rPr>
          <w:rFonts w:hint="eastAsia"/>
        </w:rPr>
        <w:t>B、有未孵化的卵鞘的房间不超过 2%，有蟑螂粪便，蜕皮壳的房间不超过 2%</w:t>
      </w:r>
    </w:p>
    <w:p>
      <w:pPr>
        <w:numPr>
          <w:ilvl w:val="0"/>
          <w:numId w:val="0"/>
        </w:numPr>
        <w:adjustRightInd w:val="0"/>
        <w:snapToGrid w:val="0"/>
        <w:spacing w:line="240" w:lineRule="auto"/>
        <w:ind w:firstLine="480" w:firstLineChars="200"/>
        <w:jc w:val="left"/>
        <w:rPr>
          <w:rFonts w:hint="eastAsia"/>
        </w:rPr>
      </w:pPr>
      <w:r>
        <w:rPr>
          <w:rFonts w:hint="eastAsia"/>
        </w:rPr>
        <w:t>C、得到有效控制，近似达到无蟑螂害标准。</w:t>
      </w:r>
    </w:p>
    <w:p>
      <w:pPr>
        <w:numPr>
          <w:ilvl w:val="0"/>
          <w:numId w:val="0"/>
        </w:numPr>
        <w:adjustRightInd w:val="0"/>
        <w:snapToGrid w:val="0"/>
        <w:spacing w:line="240" w:lineRule="auto"/>
        <w:ind w:firstLine="480" w:firstLineChars="200"/>
        <w:jc w:val="left"/>
        <w:rPr>
          <w:rFonts w:hint="eastAsia"/>
        </w:rPr>
      </w:pPr>
      <w:r>
        <w:rPr>
          <w:rFonts w:hint="eastAsia"/>
        </w:rPr>
        <w:t>3、苍蝇防治应达到的标准：</w:t>
      </w:r>
    </w:p>
    <w:p>
      <w:pPr>
        <w:numPr>
          <w:ilvl w:val="0"/>
          <w:numId w:val="0"/>
        </w:numPr>
        <w:adjustRightInd w:val="0"/>
        <w:snapToGrid w:val="0"/>
        <w:spacing w:line="240" w:lineRule="auto"/>
        <w:ind w:firstLine="480" w:firstLineChars="200"/>
        <w:jc w:val="left"/>
        <w:rPr>
          <w:rFonts w:hint="eastAsia"/>
        </w:rPr>
      </w:pPr>
      <w:r>
        <w:rPr>
          <w:rFonts w:hint="eastAsia"/>
        </w:rPr>
        <w:t>A、达到中央爱卫会规定的无苍蝇害标准：即阳性房间低于 1%，阳性房间蝇数不超过 1只。</w:t>
      </w:r>
    </w:p>
    <w:p>
      <w:pPr>
        <w:numPr>
          <w:ilvl w:val="0"/>
          <w:numId w:val="0"/>
        </w:numPr>
        <w:adjustRightInd w:val="0"/>
        <w:snapToGrid w:val="0"/>
        <w:spacing w:line="240" w:lineRule="auto"/>
        <w:ind w:firstLine="480" w:firstLineChars="200"/>
        <w:jc w:val="left"/>
        <w:rPr>
          <w:rFonts w:hint="eastAsia"/>
        </w:rPr>
      </w:pPr>
      <w:r>
        <w:rPr>
          <w:rFonts w:hint="eastAsia"/>
        </w:rPr>
        <w:t>B、蝇蛆滋生地活三令幼虫检出率低于 2%，防蝇设备不合格房间不超过 3%。</w:t>
      </w:r>
    </w:p>
    <w:p>
      <w:pPr>
        <w:numPr>
          <w:ilvl w:val="0"/>
          <w:numId w:val="0"/>
        </w:numPr>
        <w:adjustRightInd w:val="0"/>
        <w:snapToGrid w:val="0"/>
        <w:spacing w:line="240" w:lineRule="auto"/>
        <w:ind w:firstLine="480" w:firstLineChars="200"/>
        <w:jc w:val="left"/>
        <w:rPr>
          <w:rFonts w:hint="eastAsia"/>
        </w:rPr>
      </w:pPr>
      <w:r>
        <w:rPr>
          <w:rFonts w:hint="eastAsia"/>
        </w:rPr>
        <w:t>C、得到有效控制，近似达到无蝇害标准。</w:t>
      </w:r>
    </w:p>
    <w:p>
      <w:pPr>
        <w:numPr>
          <w:ilvl w:val="0"/>
          <w:numId w:val="0"/>
        </w:numPr>
        <w:adjustRightInd w:val="0"/>
        <w:snapToGrid w:val="0"/>
        <w:spacing w:line="240" w:lineRule="auto"/>
        <w:ind w:firstLine="480" w:firstLineChars="200"/>
        <w:jc w:val="left"/>
        <w:rPr>
          <w:rFonts w:hint="eastAsia"/>
        </w:rPr>
      </w:pPr>
      <w:r>
        <w:rPr>
          <w:rFonts w:hint="eastAsia"/>
        </w:rPr>
        <w:t>4、蚊子防治应达到的标准：</w:t>
      </w:r>
    </w:p>
    <w:p>
      <w:pPr>
        <w:numPr>
          <w:ilvl w:val="0"/>
          <w:numId w:val="0"/>
        </w:numPr>
        <w:adjustRightInd w:val="0"/>
        <w:snapToGrid w:val="0"/>
        <w:spacing w:line="240" w:lineRule="auto"/>
        <w:ind w:firstLine="480" w:firstLineChars="200"/>
        <w:jc w:val="left"/>
        <w:rPr>
          <w:rFonts w:hint="eastAsia"/>
        </w:rPr>
      </w:pPr>
      <w:r>
        <w:rPr>
          <w:rFonts w:hint="eastAsia"/>
        </w:rPr>
        <w:t>A、达到中央爱卫会规定的无蚊害标准：即白天人诱 30 分钟，平均每人次诱获成蚊不超过 1 只。</w:t>
      </w:r>
    </w:p>
    <w:p>
      <w:pPr>
        <w:numPr>
          <w:ilvl w:val="0"/>
          <w:numId w:val="0"/>
        </w:numPr>
        <w:adjustRightInd w:val="0"/>
        <w:snapToGrid w:val="0"/>
        <w:spacing w:line="240" w:lineRule="auto"/>
        <w:ind w:firstLine="480" w:firstLineChars="200"/>
        <w:jc w:val="left"/>
        <w:rPr>
          <w:rFonts w:hint="eastAsia"/>
        </w:rPr>
      </w:pPr>
      <w:r>
        <w:rPr>
          <w:rFonts w:hint="eastAsia"/>
        </w:rPr>
        <w:t>B、单位内各种存水容器的积水中二令以上蚊幼及蛹的阳性率不超过 3%。</w:t>
      </w:r>
    </w:p>
    <w:p>
      <w:pPr>
        <w:numPr>
          <w:ilvl w:val="0"/>
          <w:numId w:val="0"/>
        </w:numPr>
        <w:adjustRightInd w:val="0"/>
        <w:snapToGrid w:val="0"/>
        <w:spacing w:line="240" w:lineRule="auto"/>
        <w:ind w:firstLine="480" w:firstLineChars="200"/>
        <w:jc w:val="left"/>
        <w:rPr>
          <w:rFonts w:hint="eastAsia"/>
        </w:rPr>
      </w:pPr>
      <w:r>
        <w:rPr>
          <w:rFonts w:hint="eastAsia"/>
        </w:rPr>
        <w:t>C、得到有效控制，近似达到无蚊害标准。</w:t>
      </w:r>
    </w:p>
    <w:p>
      <w:pPr>
        <w:numPr>
          <w:ilvl w:val="0"/>
          <w:numId w:val="0"/>
        </w:numPr>
        <w:adjustRightInd w:val="0"/>
        <w:snapToGrid w:val="0"/>
        <w:spacing w:line="240" w:lineRule="auto"/>
        <w:ind w:firstLine="480" w:firstLineChars="200"/>
        <w:jc w:val="left"/>
        <w:rPr>
          <w:rFonts w:hint="default"/>
          <w:lang w:val="en-US" w:eastAsia="zh-CN"/>
        </w:rPr>
      </w:pPr>
      <w:r>
        <w:rPr>
          <w:rFonts w:hint="eastAsia"/>
        </w:rPr>
        <w:t>以上衡量标准以 15 平方米/标准间为单位计算。</w:t>
      </w:r>
    </w:p>
    <w:p>
      <w:pPr>
        <w:numPr>
          <w:ilvl w:val="0"/>
          <w:numId w:val="0"/>
        </w:numPr>
        <w:adjustRightInd w:val="0"/>
        <w:snapToGrid w:val="0"/>
        <w:spacing w:line="240" w:lineRule="auto"/>
        <w:jc w:val="left"/>
        <w:rPr>
          <w:rFonts w:hint="eastAsia" w:ascii="宋体" w:hAnsi="宋体"/>
          <w:b/>
          <w:bCs/>
          <w:sz w:val="28"/>
          <w:szCs w:val="28"/>
          <w:lang w:val="en-US" w:eastAsia="zh-CN"/>
        </w:rPr>
      </w:pPr>
    </w:p>
    <w:p>
      <w:pPr>
        <w:numPr>
          <w:ilvl w:val="0"/>
          <w:numId w:val="0"/>
        </w:numPr>
        <w:adjustRightInd w:val="0"/>
        <w:snapToGrid w:val="0"/>
        <w:spacing w:line="240" w:lineRule="auto"/>
        <w:jc w:val="right"/>
        <w:rPr>
          <w:rFonts w:hint="eastAsia" w:ascii="宋体" w:hAnsi="宋体"/>
          <w:b/>
          <w:bCs/>
          <w:sz w:val="28"/>
          <w:szCs w:val="28"/>
          <w:lang w:val="en-US" w:eastAsia="zh-CN"/>
        </w:rPr>
      </w:pPr>
      <w:r>
        <w:rPr>
          <w:rFonts w:hint="eastAsia" w:ascii="宋体" w:hAnsi="宋体"/>
          <w:b/>
          <w:bCs/>
          <w:sz w:val="28"/>
          <w:szCs w:val="28"/>
          <w:lang w:val="en-US" w:eastAsia="zh-CN"/>
        </w:rPr>
        <w:t>芜湖新兴铸管有限责任公司</w:t>
      </w:r>
    </w:p>
    <w:p>
      <w:pPr>
        <w:numPr>
          <w:ilvl w:val="0"/>
          <w:numId w:val="0"/>
        </w:numPr>
        <w:wordWrap w:val="0"/>
        <w:adjustRightInd w:val="0"/>
        <w:snapToGrid w:val="0"/>
        <w:spacing w:line="240" w:lineRule="auto"/>
        <w:jc w:val="right"/>
        <w:rPr>
          <w:rFonts w:hint="default" w:ascii="宋体" w:hAnsi="宋体"/>
          <w:lang w:val="en-US" w:eastAsia="zh-CN"/>
        </w:rPr>
      </w:pPr>
      <w:r>
        <w:rPr>
          <w:rFonts w:hint="eastAsia" w:ascii="宋体" w:hAnsi="宋体"/>
          <w:b/>
          <w:bCs/>
          <w:sz w:val="28"/>
          <w:szCs w:val="28"/>
          <w:lang w:val="en-US" w:eastAsia="zh-CN"/>
        </w:rPr>
        <w:t xml:space="preserve">2020-07-02  </w:t>
      </w:r>
      <w:r>
        <w:rPr>
          <w:rFonts w:hint="eastAsia" w:ascii="宋体" w:hAnsi="宋体"/>
          <w:lang w:val="en-US" w:eastAsia="zh-CN"/>
        </w:rPr>
        <w:t xml:space="preserve">  </w:t>
      </w:r>
    </w:p>
    <w:p>
      <w:pPr>
        <w:spacing w:line="240" w:lineRule="auto"/>
      </w:pPr>
      <w:bookmarkStart w:id="0" w:name="_GoBack"/>
      <w:bookmarkEnd w:id="0"/>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876" w:firstLine="400"/>
      </w:pPr>
      <w:rPr>
        <w:rFonts w:hint="default"/>
      </w:rPr>
    </w:lvl>
  </w:abstractNum>
  <w:abstractNum w:abstractNumId="1">
    <w:nsid w:val="9726F0C2"/>
    <w:multiLevelType w:val="singleLevel"/>
    <w:tmpl w:val="9726F0C2"/>
    <w:lvl w:ilvl="0" w:tentative="0">
      <w:start w:val="1"/>
      <w:numFmt w:val="decimal"/>
      <w:suff w:val="nothing"/>
      <w:lvlText w:val="%1．"/>
      <w:lvlJc w:val="left"/>
      <w:pPr>
        <w:ind w:left="0" w:firstLine="400"/>
      </w:pPr>
      <w:rPr>
        <w:rFonts w:hint="default"/>
      </w:rPr>
    </w:lvl>
  </w:abstractNum>
  <w:abstractNum w:abstractNumId="2">
    <w:nsid w:val="BEBFC349"/>
    <w:multiLevelType w:val="singleLevel"/>
    <w:tmpl w:val="BEBFC349"/>
    <w:lvl w:ilvl="0" w:tentative="0">
      <w:start w:val="1"/>
      <w:numFmt w:val="decimal"/>
      <w:suff w:val="nothing"/>
      <w:lvlText w:val="%1．"/>
      <w:lvlJc w:val="left"/>
      <w:pPr>
        <w:ind w:left="0" w:firstLine="400"/>
      </w:pPr>
      <w:rPr>
        <w:rFonts w:hint="default"/>
      </w:rPr>
    </w:lvl>
  </w:abstractNum>
  <w:abstractNum w:abstractNumId="3">
    <w:nsid w:val="DFF0FD42"/>
    <w:multiLevelType w:val="singleLevel"/>
    <w:tmpl w:val="DFF0FD42"/>
    <w:lvl w:ilvl="0" w:tentative="0">
      <w:start w:val="1"/>
      <w:numFmt w:val="decimal"/>
      <w:suff w:val="space"/>
      <w:lvlText w:val="%1."/>
      <w:lvlJc w:val="left"/>
    </w:lvl>
  </w:abstractNum>
  <w:abstractNum w:abstractNumId="4">
    <w:nsid w:val="FDEFB2C9"/>
    <w:multiLevelType w:val="singleLevel"/>
    <w:tmpl w:val="FDEFB2C9"/>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B"/>
    <w:multiLevelType w:val="singleLevel"/>
    <w:tmpl w:val="0000000B"/>
    <w:lvl w:ilvl="0" w:tentative="0">
      <w:start w:val="1"/>
      <w:numFmt w:val="decimal"/>
      <w:lvlText w:val="（%1）"/>
      <w:lvlJc w:val="left"/>
      <w:pPr>
        <w:tabs>
          <w:tab w:val="left" w:pos="1125"/>
        </w:tabs>
        <w:ind w:left="1125" w:hanging="705"/>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C8DB53C"/>
    <w:multiLevelType w:val="singleLevel"/>
    <w:tmpl w:val="5C8DB53C"/>
    <w:lvl w:ilvl="0" w:tentative="0">
      <w:start w:val="1"/>
      <w:numFmt w:val="decimal"/>
      <w:suff w:val="nothing"/>
      <w:lvlText w:val="%1．"/>
      <w:lvlJc w:val="left"/>
      <w:pPr>
        <w:ind w:left="0" w:firstLine="400"/>
      </w:pPr>
      <w:rPr>
        <w:rFonts w:hint="default"/>
      </w:rPr>
    </w:lvl>
  </w:abstractNum>
  <w:abstractNum w:abstractNumId="9">
    <w:nsid w:val="6DA18680"/>
    <w:multiLevelType w:val="singleLevel"/>
    <w:tmpl w:val="6DA18680"/>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3"/>
  </w:num>
  <w:num w:numId="3">
    <w:abstractNumId w:val="4"/>
  </w:num>
  <w:num w:numId="4">
    <w:abstractNumId w:val="6"/>
    <w:lvlOverride w:ilvl="0">
      <w:startOverride w:val="1"/>
    </w:lvlOverride>
  </w:num>
  <w:num w:numId="5">
    <w:abstractNumId w:val="7"/>
  </w:num>
  <w:num w:numId="6">
    <w:abstractNumId w:val="8"/>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C4248"/>
    <w:rsid w:val="116D5BEB"/>
    <w:rsid w:val="12BE36BC"/>
    <w:rsid w:val="15DC02B9"/>
    <w:rsid w:val="197D1E1B"/>
    <w:rsid w:val="1C597FEA"/>
    <w:rsid w:val="1E3303F3"/>
    <w:rsid w:val="23323FD2"/>
    <w:rsid w:val="31825BC0"/>
    <w:rsid w:val="37907530"/>
    <w:rsid w:val="380808B1"/>
    <w:rsid w:val="3B17083B"/>
    <w:rsid w:val="3B9E084C"/>
    <w:rsid w:val="3DC81E3B"/>
    <w:rsid w:val="41370B5F"/>
    <w:rsid w:val="471153B5"/>
    <w:rsid w:val="4EB64ED5"/>
    <w:rsid w:val="4F346C81"/>
    <w:rsid w:val="516E0CF8"/>
    <w:rsid w:val="5F6E0BE5"/>
    <w:rsid w:val="63082A59"/>
    <w:rsid w:val="66B55917"/>
    <w:rsid w:val="67EA742A"/>
    <w:rsid w:val="6B7C698E"/>
    <w:rsid w:val="76254DFB"/>
    <w:rsid w:val="78026BDD"/>
    <w:rsid w:val="78D8289B"/>
    <w:rsid w:val="7F41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qFormat/>
    <w:uiPriority w:val="0"/>
  </w:style>
  <w:style w:type="paragraph" w:customStyle="1" w:styleId="7">
    <w:name w:val="Plain Text1"/>
    <w:basedOn w:val="1"/>
    <w:qFormat/>
    <w:uiPriority w:val="0"/>
    <w:rPr>
      <w:rFonts w:ascii="宋体fal" w:hAnsi="Courier New" w:cs="宋体f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cp:lastPrinted>2020-06-02T00:52:00Z</cp:lastPrinted>
  <dcterms:modified xsi:type="dcterms:W3CDTF">2020-07-02T00:35:42Z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