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240" w:lineRule="auto"/>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color w:val="FF0000"/>
          <w:u w:val="single"/>
          <w:lang w:val="en-US" w:eastAsia="zh-CN"/>
        </w:rPr>
        <w:t>贰万壹仟元</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u w:val="single"/>
          <w:lang w:val="en-US" w:eastAsia="zh-CN"/>
        </w:rPr>
        <w:t>2020</w:t>
      </w:r>
      <w:r>
        <w:rPr>
          <w:rFonts w:hint="eastAsia" w:ascii="宋体" w:hAnsi="宋体"/>
          <w:bCs/>
          <w:color w:val="7030A0"/>
        </w:rPr>
        <w:t>年</w:t>
      </w:r>
      <w:r>
        <w:rPr>
          <w:rFonts w:hint="eastAsia" w:ascii="宋体" w:hAnsi="宋体"/>
          <w:u w:val="single"/>
          <w:lang w:val="en-US" w:eastAsia="zh-CN"/>
        </w:rPr>
        <w:t>12</w:t>
      </w:r>
      <w:r>
        <w:rPr>
          <w:rFonts w:hint="eastAsia" w:ascii="宋体" w:hAnsi="宋体"/>
          <w:bCs/>
          <w:color w:val="7030A0"/>
        </w:rPr>
        <w:t>月</w:t>
      </w:r>
      <w:r>
        <w:rPr>
          <w:rFonts w:hint="eastAsia" w:ascii="宋体" w:hAnsi="宋体"/>
          <w:u w:val="single"/>
          <w:lang w:val="en-US" w:eastAsia="zh-CN"/>
        </w:rPr>
        <w:t>28</w:t>
      </w:r>
      <w:r>
        <w:rPr>
          <w:rFonts w:hint="eastAsia" w:ascii="宋体" w:hAnsi="宋体"/>
          <w:bCs/>
          <w:color w:val="7030A0"/>
        </w:rPr>
        <w:t>日</w:t>
      </w:r>
      <w:r>
        <w:rPr>
          <w:rFonts w:hint="eastAsia" w:ascii="宋体" w:hAnsi="宋体"/>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53" w:firstLineChars="689"/>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964" w:firstLineChars="400"/>
        <w:rPr>
          <w:rFonts w:hint="default" w:ascii="宋体" w:hAnsi="宋体" w:eastAsia="宋体"/>
          <w:b/>
          <w:bCs w:val="0"/>
          <w:lang w:val="en-US" w:eastAsia="zh-CN"/>
        </w:rPr>
      </w:pPr>
      <w:r>
        <w:rPr>
          <w:rFonts w:hint="eastAsia" w:ascii="宋体" w:hAnsi="宋体"/>
          <w:b/>
          <w:bCs w:val="0"/>
          <w:lang w:val="en-US" w:eastAsia="zh-CN"/>
        </w:rPr>
        <w:t>中标单位需缴纳60万安全保证金</w:t>
      </w:r>
    </w:p>
    <w:p>
      <w:pPr>
        <w:spacing w:line="240" w:lineRule="auto"/>
        <w:ind w:firstLine="1653" w:firstLineChars="689"/>
        <w:rPr>
          <w:rFonts w:hint="eastAsia" w:ascii="宋体" w:hAnsi="宋体"/>
          <w:bCs/>
        </w:rPr>
      </w:pPr>
    </w:p>
    <w:p>
      <w:pPr>
        <w:numPr>
          <w:ilvl w:val="0"/>
          <w:numId w:val="1"/>
        </w:numPr>
        <w:spacing w:line="240" w:lineRule="auto"/>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numPr>
          <w:ilvl w:val="0"/>
          <w:numId w:val="1"/>
        </w:numPr>
        <w:spacing w:line="240" w:lineRule="auto"/>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numPr>
          <w:ilvl w:val="0"/>
          <w:numId w:val="1"/>
        </w:numPr>
        <w:spacing w:line="240" w:lineRule="auto"/>
        <w:rPr>
          <w:rFonts w:ascii="宋体" w:hAnsi="宋体"/>
          <w:b/>
        </w:rPr>
      </w:pPr>
      <w:r>
        <w:rPr>
          <w:rFonts w:hint="eastAsia" w:ascii="宋体" w:hAnsi="宋体"/>
          <w:b/>
        </w:rPr>
        <w:t>投标人要求</w:t>
      </w:r>
    </w:p>
    <w:p>
      <w:pPr>
        <w:numPr>
          <w:ilvl w:val="0"/>
          <w:numId w:val="2"/>
        </w:numPr>
        <w:spacing w:line="240" w:lineRule="auto"/>
        <w:ind w:left="285" w:leftChars="0"/>
        <w:rPr>
          <w:rFonts w:ascii="宋体" w:hAnsi="宋体"/>
        </w:rPr>
      </w:pPr>
      <w:r>
        <w:rPr>
          <w:rFonts w:hint="eastAsia" w:ascii="宋体" w:hAnsi="宋体"/>
        </w:rPr>
        <w:t>合格的投标人应具有圆满履行合同的能力，具体应符合下列条件：</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具有独立订立合同的权利。</w:t>
      </w:r>
    </w:p>
    <w:p>
      <w:pPr>
        <w:numPr>
          <w:ilvl w:val="0"/>
          <w:numId w:val="3"/>
        </w:numPr>
        <w:tabs>
          <w:tab w:val="left" w:pos="1125"/>
        </w:tabs>
        <w:spacing w:line="240" w:lineRule="auto"/>
        <w:ind w:left="1265" w:leftChars="0" w:hanging="425" w:firstLineChars="0"/>
        <w:jc w:val="left"/>
        <w:rPr>
          <w:rFonts w:ascii="宋体" w:hAnsi="宋体"/>
        </w:rPr>
      </w:pPr>
      <w:r>
        <w:rPr>
          <w:rFonts w:hint="eastAsia" w:ascii="宋体" w:hAnsi="宋体"/>
        </w:rPr>
        <w:t>投标方必须要具有自己的专业养护人员。</w:t>
      </w:r>
    </w:p>
    <w:p>
      <w:pPr>
        <w:numPr>
          <w:ilvl w:val="0"/>
          <w:numId w:val="3"/>
        </w:numPr>
        <w:tabs>
          <w:tab w:val="left" w:pos="1125"/>
        </w:tabs>
        <w:spacing w:line="240" w:lineRule="auto"/>
        <w:ind w:left="1265" w:leftChars="0" w:hanging="425" w:firstLineChars="0"/>
        <w:rPr>
          <w:rFonts w:hint="eastAsia" w:ascii="宋体" w:hAnsi="宋体"/>
          <w:color w:val="FF0000"/>
        </w:rPr>
      </w:pPr>
      <w:r>
        <w:rPr>
          <w:rFonts w:hint="eastAsia" w:ascii="宋体" w:hAnsi="宋体"/>
        </w:rPr>
        <w:t>必须有</w:t>
      </w:r>
      <w:r>
        <w:rPr>
          <w:rFonts w:hint="eastAsia" w:ascii="宋体" w:hAnsi="宋体"/>
          <w:lang w:val="en-US" w:eastAsia="zh-CN"/>
        </w:rPr>
        <w:t>合同履约</w:t>
      </w:r>
      <w:r>
        <w:rPr>
          <w:rFonts w:hint="eastAsia" w:ascii="宋体" w:hAnsi="宋体"/>
        </w:rPr>
        <w:t>能力。</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numPr>
          <w:ilvl w:val="0"/>
          <w:numId w:val="2"/>
        </w:numPr>
        <w:spacing w:line="240" w:lineRule="auto"/>
        <w:ind w:left="285" w:leftChars="0" w:firstLine="0" w:firstLineChars="0"/>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numPr>
          <w:ilvl w:val="0"/>
          <w:numId w:val="4"/>
        </w:numPr>
        <w:spacing w:line="240" w:lineRule="auto"/>
        <w:rPr>
          <w:rFonts w:hint="eastAsia" w:ascii="宋体" w:hAnsi="宋体"/>
        </w:rPr>
      </w:pPr>
      <w:r>
        <w:rPr>
          <w:rFonts w:hint="eastAsia" w:ascii="宋体" w:hAnsi="宋体"/>
        </w:rPr>
        <w:t>商务文件：</w:t>
      </w:r>
    </w:p>
    <w:p>
      <w:pPr>
        <w:numPr>
          <w:ilvl w:val="0"/>
          <w:numId w:val="5"/>
        </w:numPr>
        <w:spacing w:line="240" w:lineRule="auto"/>
        <w:ind w:firstLine="120"/>
        <w:rPr>
          <w:rFonts w:hint="eastAsia" w:ascii="宋体" w:hAnsi="宋体"/>
        </w:rPr>
      </w:pPr>
      <w:r>
        <w:rPr>
          <w:rFonts w:hint="eastAsia" w:ascii="宋体" w:hAnsi="宋体"/>
        </w:rPr>
        <w:t>投标人法定代表人授权书及授权代表身份证复印件。</w:t>
      </w:r>
    </w:p>
    <w:p>
      <w:pPr>
        <w:numPr>
          <w:ilvl w:val="0"/>
          <w:numId w:val="5"/>
        </w:numPr>
        <w:spacing w:line="240" w:lineRule="auto"/>
        <w:ind w:firstLine="120"/>
        <w:rPr>
          <w:rFonts w:ascii="宋体" w:hAnsi="宋体"/>
        </w:rPr>
      </w:pPr>
      <w:r>
        <w:rPr>
          <w:rFonts w:hint="eastAsia" w:ascii="宋体" w:hAnsi="宋体"/>
        </w:rPr>
        <w:t>企业法人营业执照及质量、环境、职业安全体系认证等。</w:t>
      </w:r>
    </w:p>
    <w:p>
      <w:pPr>
        <w:numPr>
          <w:ilvl w:val="0"/>
          <w:numId w:val="5"/>
        </w:numPr>
        <w:spacing w:line="240" w:lineRule="auto"/>
        <w:ind w:firstLine="120"/>
        <w:rPr>
          <w:rFonts w:hint="eastAsia" w:ascii="宋体" w:hAnsi="宋体"/>
        </w:rPr>
      </w:pPr>
      <w:r>
        <w:rPr>
          <w:rFonts w:hint="eastAsia" w:ascii="宋体" w:hAnsi="宋体"/>
        </w:rPr>
        <w:t>生产许可证、行业许可证、有关的鉴定材料等。</w:t>
      </w:r>
    </w:p>
    <w:p>
      <w:pPr>
        <w:numPr>
          <w:ilvl w:val="0"/>
          <w:numId w:val="5"/>
        </w:numPr>
        <w:spacing w:line="240" w:lineRule="auto"/>
        <w:ind w:firstLine="120"/>
        <w:rPr>
          <w:rFonts w:hint="eastAsia" w:ascii="宋体" w:hAnsi="宋体"/>
        </w:rPr>
      </w:pPr>
      <w:r>
        <w:rPr>
          <w:rFonts w:hint="eastAsia" w:ascii="宋体" w:hAnsi="宋体"/>
        </w:rPr>
        <w:t>近几年内与此项目相关的业绩合同。</w:t>
      </w:r>
    </w:p>
    <w:p>
      <w:pPr>
        <w:numPr>
          <w:ilvl w:val="0"/>
          <w:numId w:val="5"/>
        </w:numPr>
        <w:spacing w:line="240" w:lineRule="auto"/>
        <w:ind w:firstLine="120"/>
        <w:rPr>
          <w:rFonts w:hint="eastAsia" w:ascii="宋体" w:hAnsi="宋体"/>
        </w:rPr>
      </w:pPr>
      <w:r>
        <w:rPr>
          <w:rFonts w:hint="eastAsia" w:ascii="宋体" w:hAnsi="宋体"/>
        </w:rPr>
        <w:t>投标有效期。</w:t>
      </w:r>
    </w:p>
    <w:p>
      <w:pPr>
        <w:numPr>
          <w:ilvl w:val="0"/>
          <w:numId w:val="5"/>
        </w:numPr>
        <w:spacing w:line="240" w:lineRule="auto"/>
        <w:ind w:firstLine="120"/>
        <w:rPr>
          <w:rFonts w:hint="eastAsia" w:ascii="宋体" w:hAnsi="宋体"/>
          <w:bCs/>
        </w:rPr>
      </w:pPr>
      <w:r>
        <w:rPr>
          <w:rFonts w:hint="eastAsia" w:ascii="宋体" w:hAnsi="宋体"/>
          <w:bCs/>
        </w:rPr>
        <w:t>投标项目的具体明细（不含报价）。</w:t>
      </w:r>
    </w:p>
    <w:p>
      <w:pPr>
        <w:numPr>
          <w:ilvl w:val="0"/>
          <w:numId w:val="5"/>
        </w:numPr>
        <w:spacing w:line="240" w:lineRule="auto"/>
        <w:ind w:firstLine="120"/>
        <w:rPr>
          <w:rFonts w:ascii="宋体" w:hAnsi="宋体"/>
          <w:bCs/>
        </w:rPr>
      </w:pPr>
      <w:r>
        <w:rPr>
          <w:rFonts w:hint="eastAsia" w:ascii="宋体" w:hAnsi="宋体"/>
          <w:bCs/>
        </w:rPr>
        <w:t>联合体投标人提供的联合协议。</w:t>
      </w:r>
    </w:p>
    <w:p>
      <w:pPr>
        <w:numPr>
          <w:ilvl w:val="0"/>
          <w:numId w:val="4"/>
        </w:numPr>
        <w:spacing w:line="240" w:lineRule="auto"/>
        <w:rPr>
          <w:rFonts w:hint="eastAsia" w:ascii="宋体" w:hAnsi="宋体"/>
          <w:bCs/>
        </w:rPr>
      </w:pPr>
      <w:r>
        <w:rPr>
          <w:rFonts w:hint="eastAsia" w:ascii="宋体" w:hAnsi="宋体"/>
          <w:bCs/>
        </w:rPr>
        <w:t>技术文件：投标方应针对招标方的实际情况制定出详细年度的养护方案。</w:t>
      </w:r>
    </w:p>
    <w:p>
      <w:pPr>
        <w:numPr>
          <w:ilvl w:val="0"/>
          <w:numId w:val="4"/>
        </w:numPr>
        <w:spacing w:line="240" w:lineRule="auto"/>
        <w:rPr>
          <w:rFonts w:ascii="宋体" w:hAnsi="宋体"/>
          <w:bCs/>
        </w:rPr>
      </w:pPr>
      <w:r>
        <w:rPr>
          <w:rFonts w:hint="eastAsia" w:ascii="宋体" w:hAnsi="宋体"/>
          <w:bCs/>
        </w:rPr>
        <w:t>价格文件：一份即可，必须单独密封。投标人必须填写投标报价表，设备价格为含税到厂价，并注明税率。</w:t>
      </w:r>
    </w:p>
    <w:p>
      <w:pPr>
        <w:numPr>
          <w:ilvl w:val="0"/>
          <w:numId w:val="4"/>
        </w:numPr>
        <w:spacing w:line="240" w:lineRule="auto"/>
        <w:ind w:left="1123" w:hanging="703"/>
        <w:rPr>
          <w:rFonts w:ascii="宋体" w:hAnsi="宋体"/>
        </w:rPr>
      </w:pPr>
      <w:r>
        <w:rPr>
          <w:rFonts w:hint="eastAsia" w:ascii="宋体" w:hAnsi="宋体"/>
          <w:bCs/>
        </w:rPr>
        <w:t>其它文件：包括</w:t>
      </w:r>
      <w:r>
        <w:rPr>
          <w:rFonts w:hint="eastAsia" w:ascii="宋体" w:hAnsi="宋体"/>
        </w:rPr>
        <w:t>商务、技术偏差表或不满足招标文件的差异说明，招标文件要求具备的其他内容，以及投标人额外承诺或补充说明等。对所安装的设备提供土建条件相关资料。</w:t>
      </w:r>
    </w:p>
    <w:p>
      <w:pPr>
        <w:spacing w:line="240" w:lineRule="auto"/>
        <w:rPr>
          <w:rFonts w:ascii="宋体" w:hAnsi="宋体"/>
          <w:b/>
        </w:rPr>
      </w:pPr>
      <w:r>
        <w:rPr>
          <w:rFonts w:hint="eastAsia" w:ascii="宋体" w:hAnsi="宋体"/>
          <w:b/>
        </w:rPr>
        <w:t>五、投标费用</w:t>
      </w:r>
    </w:p>
    <w:p>
      <w:pPr>
        <w:spacing w:line="240" w:lineRule="auto"/>
        <w:ind w:left="480" w:leftChars="200" w:firstLine="480" w:firstLine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spacing w:line="240" w:lineRule="auto"/>
        <w:rPr>
          <w:rFonts w:ascii="宋体" w:hAnsi="宋体"/>
          <w:b/>
        </w:rPr>
      </w:pPr>
      <w:r>
        <w:rPr>
          <w:rFonts w:hint="eastAsia" w:ascii="宋体" w:hAnsi="宋体"/>
          <w:b/>
        </w:rPr>
        <w:t>六、投标人建议</w:t>
      </w:r>
    </w:p>
    <w:p>
      <w:pPr>
        <w:spacing w:line="240" w:lineRule="auto"/>
        <w:ind w:left="480" w:firstLine="480" w:firstLineChars="200"/>
        <w:rPr>
          <w:rFonts w:ascii="宋体" w:hAnsi="宋体"/>
        </w:rPr>
      </w:pPr>
      <w:r>
        <w:rPr>
          <w:rFonts w:hint="eastAsia" w:ascii="宋体" w:hAnsi="宋体"/>
        </w:rPr>
        <w:t>投标人可提出补充建议或说明，提出比招标文件的要求更为合理的方案。</w:t>
      </w:r>
    </w:p>
    <w:p>
      <w:pPr>
        <w:spacing w:line="240" w:lineRule="auto"/>
        <w:rPr>
          <w:rFonts w:hint="eastAsia" w:ascii="宋体" w:hAnsi="宋体"/>
          <w:b/>
        </w:rPr>
      </w:pPr>
      <w:r>
        <w:rPr>
          <w:rFonts w:hint="eastAsia" w:ascii="宋体" w:hAnsi="宋体"/>
          <w:b/>
        </w:rPr>
        <w:t>七、投标文件的份数和签署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四</w:t>
      </w:r>
      <w:r>
        <w:rPr>
          <w:rFonts w:ascii="宋体" w:hAnsi="宋体"/>
        </w:rPr>
        <w:t>份，正本一份，副本</w:t>
      </w:r>
      <w:r>
        <w:rPr>
          <w:rFonts w:hint="eastAsia" w:ascii="宋体" w:hAnsi="宋体"/>
        </w:rPr>
        <w:t>三</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hint="eastAsia"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rPr>
        <w:t>八、投标报价</w:t>
      </w:r>
    </w:p>
    <w:p>
      <w:pPr>
        <w:pStyle w:val="6"/>
        <w:numPr>
          <w:ilvl w:val="0"/>
          <w:numId w:val="7"/>
        </w:numPr>
        <w:spacing w:line="240" w:lineRule="auto"/>
        <w:ind w:left="0" w:leftChars="0" w:firstLine="480" w:firstLineChars="200"/>
        <w:rPr>
          <w:rFonts w:hint="eastAsia" w:ascii="宋体" w:hAnsi="宋体"/>
          <w:b/>
          <w:bCs/>
        </w:rPr>
      </w:pPr>
      <w:r>
        <w:rPr>
          <w:rFonts w:ascii="宋体" w:hAnsi="宋体"/>
        </w:rPr>
        <w:t>投标人应严格按照招标文件提供的格式认真填写价格表。</w:t>
      </w:r>
    </w:p>
    <w:p>
      <w:pPr>
        <w:pStyle w:val="6"/>
        <w:numPr>
          <w:ilvl w:val="0"/>
          <w:numId w:val="7"/>
        </w:numPr>
        <w:spacing w:line="240" w:lineRule="auto"/>
        <w:ind w:left="0" w:leftChars="0" w:firstLine="480" w:firstLineChars="200"/>
        <w:rPr>
          <w:rFonts w:hint="eastAsia" w:ascii="宋体" w:hAnsi="宋体"/>
          <w:b/>
          <w:bCs/>
          <w:color w:val="FF0000"/>
        </w:rPr>
      </w:pPr>
      <w:r>
        <w:t>若单</w:t>
      </w:r>
      <w:r>
        <w:rPr>
          <w:rFonts w:ascii="宋体" w:hAnsi="宋体"/>
        </w:rPr>
        <w:t>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w:t>
      </w:r>
      <w:r>
        <w:t>异，则以文字金额为准，并对数字做相应的修正；若正本与副本有差异，则以正本为准。</w:t>
      </w:r>
    </w:p>
    <w:p>
      <w:pPr>
        <w:spacing w:line="240" w:lineRule="auto"/>
        <w:rPr>
          <w:rFonts w:ascii="宋体" w:hAnsi="宋体"/>
          <w:b/>
        </w:rPr>
      </w:pPr>
      <w:r>
        <w:rPr>
          <w:rFonts w:hint="eastAsia" w:ascii="宋体" w:hAnsi="宋体"/>
          <w:b/>
        </w:rPr>
        <w:t>九、投标文件的递交</w:t>
      </w:r>
    </w:p>
    <w:p>
      <w:pPr>
        <w:numPr>
          <w:ilvl w:val="0"/>
          <w:numId w:val="8"/>
        </w:numPr>
        <w:spacing w:line="240" w:lineRule="auto"/>
        <w:ind w:left="0" w:leftChars="0" w:firstLine="480" w:firstLineChars="200"/>
        <w:rPr>
          <w:rFonts w:ascii="宋体" w:hAnsi="宋体"/>
          <w:kern w:val="0"/>
        </w:rPr>
      </w:pPr>
      <w:r>
        <w:rPr>
          <w:rFonts w:ascii="宋体" w:hAnsi="宋体"/>
          <w:kern w:val="0"/>
        </w:rPr>
        <w:t>投标文件有密封与标记</w:t>
      </w:r>
    </w:p>
    <w:p>
      <w:pPr>
        <w:widowControl/>
        <w:numPr>
          <w:ilvl w:val="0"/>
          <w:numId w:val="8"/>
        </w:numPr>
        <w:tabs>
          <w:tab w:val="left" w:pos="360"/>
          <w:tab w:val="left" w:pos="720"/>
          <w:tab w:val="left" w:pos="1050"/>
        </w:tabs>
        <w:spacing w:line="240" w:lineRule="auto"/>
        <w:ind w:left="0" w:leftChars="0" w:firstLine="480" w:firstLineChars="200"/>
        <w:jc w:val="left"/>
        <w:rPr>
          <w:rFonts w:hint="eastAsia" w:ascii="宋体" w:hAnsi="宋体"/>
          <w:kern w:val="0"/>
        </w:rPr>
      </w:pPr>
      <w:r>
        <w:rPr>
          <w:rFonts w:ascii="宋体" w:hAnsi="宋体"/>
          <w:kern w:val="0"/>
        </w:rPr>
        <w:t>投标文件的每份正本、副本均应用档案袋分别密封，密封上应加盖投标人公章。</w:t>
      </w:r>
    </w:p>
    <w:p>
      <w:pPr>
        <w:widowControl/>
        <w:numPr>
          <w:ilvl w:val="0"/>
          <w:numId w:val="8"/>
        </w:numPr>
        <w:spacing w:line="240" w:lineRule="auto"/>
        <w:ind w:left="0" w:leftChars="0" w:firstLine="480" w:firstLineChars="200"/>
        <w:jc w:val="left"/>
        <w:rPr>
          <w:rFonts w:hint="eastAsia" w:ascii="宋体" w:hAnsi="宋体"/>
          <w:kern w:val="0"/>
        </w:rPr>
      </w:pPr>
      <w:r>
        <w:rPr>
          <w:rFonts w:ascii="宋体" w:hAnsi="宋体"/>
          <w:kern w:val="0"/>
        </w:rPr>
        <w:t>投标商</w:t>
      </w:r>
      <w:r>
        <w:rPr>
          <w:rFonts w:hint="eastAsia" w:ascii="宋体" w:hAnsi="宋体"/>
          <w:kern w:val="0"/>
        </w:rPr>
        <w:t>应在开标前将投标文件送达到指定地点，逾期未到的都将视为弃权。如因特殊客观原因，投标人应于开标前告知招标人，并得到其同意者除外。</w:t>
      </w:r>
    </w:p>
    <w:p>
      <w:pPr>
        <w:widowControl/>
        <w:numPr>
          <w:ilvl w:val="0"/>
          <w:numId w:val="8"/>
        </w:numPr>
        <w:spacing w:line="240" w:lineRule="auto"/>
        <w:ind w:left="0" w:leftChars="0" w:firstLine="480" w:firstLineChars="200"/>
        <w:jc w:val="left"/>
        <w:rPr>
          <w:rFonts w:hint="eastAsia" w:ascii="宋体" w:hAnsi="宋体"/>
          <w:kern w:val="0"/>
        </w:rPr>
      </w:pPr>
      <w:r>
        <w:rPr>
          <w:rFonts w:hint="eastAsia" w:ascii="宋体" w:hAnsi="宋体"/>
          <w:kern w:val="0"/>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十、无效投标</w:t>
      </w:r>
    </w:p>
    <w:p>
      <w:pPr>
        <w:tabs>
          <w:tab w:val="left" w:pos="735"/>
        </w:tabs>
        <w:spacing w:line="240" w:lineRule="auto"/>
        <w:ind w:firstLine="480" w:firstLineChars="200"/>
        <w:rPr>
          <w:rFonts w:hint="eastAsia" w:ascii="宋体" w:hAnsi="宋体"/>
          <w:kern w:val="0"/>
        </w:rPr>
      </w:pPr>
      <w:r>
        <w:rPr>
          <w:rFonts w:hint="eastAsia" w:ascii="宋体" w:hAnsi="宋体"/>
          <w:kern w:val="0"/>
        </w:rPr>
        <w:t>发生下列情况之一者，视为无效投标。</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投标文件未按规定加盖公章和签字。</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投标文件字迹模糊、无法辨认影响评标的。</w:t>
      </w:r>
    </w:p>
    <w:p>
      <w:pPr>
        <w:widowControl/>
        <w:numPr>
          <w:ilvl w:val="0"/>
          <w:numId w:val="9"/>
        </w:numPr>
        <w:spacing w:line="240" w:lineRule="auto"/>
        <w:ind w:left="0" w:firstLine="480" w:firstLineChars="200"/>
        <w:jc w:val="left"/>
        <w:rPr>
          <w:rFonts w:ascii="宋体" w:hAnsi="宋体"/>
          <w:bCs/>
          <w:kern w:val="0"/>
        </w:rPr>
      </w:pPr>
      <w:r>
        <w:rPr>
          <w:rFonts w:hint="eastAsia" w:ascii="宋体" w:hAnsi="宋体"/>
          <w:bCs/>
          <w:kern w:val="0"/>
        </w:rPr>
        <w:t>授权委托书未加盖单位公章和法定代表人印章（或签字）的。</w:t>
      </w:r>
    </w:p>
    <w:p>
      <w:pPr>
        <w:widowControl/>
        <w:numPr>
          <w:ilvl w:val="0"/>
          <w:numId w:val="9"/>
        </w:numPr>
        <w:spacing w:line="240" w:lineRule="auto"/>
        <w:ind w:left="0" w:firstLine="480" w:firstLineChars="200"/>
        <w:jc w:val="left"/>
        <w:rPr>
          <w:rFonts w:ascii="宋体" w:hAnsi="宋体"/>
          <w:bCs/>
          <w:kern w:val="0"/>
        </w:rPr>
      </w:pPr>
      <w:r>
        <w:rPr>
          <w:rFonts w:hint="eastAsia"/>
          <w:kern w:val="0"/>
        </w:rPr>
        <w:t>投标人以任何形式干扰招投标工作公开、公正进行的。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投标人企业资质不全或无资质的。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附有招标人不能接受的条件的。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在投标文件中有两个以上的报价，且未明确哪个报价有效。</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以联合体方式投标而无共同投标协议的。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以他人名义投标的。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未按招标文件要求提交投标保证金的。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投标人串通投标、弄虚作假或者以行贿、欺骗等不正当手段谋取中标的。</w:t>
      </w:r>
    </w:p>
    <w:p>
      <w:pPr>
        <w:widowControl/>
        <w:numPr>
          <w:ilvl w:val="0"/>
          <w:numId w:val="9"/>
        </w:numPr>
        <w:spacing w:line="240" w:lineRule="auto"/>
        <w:ind w:left="0" w:firstLine="480" w:firstLineChars="200"/>
        <w:jc w:val="left"/>
        <w:rPr>
          <w:rFonts w:ascii="宋体" w:hAnsi="宋体"/>
          <w:b w:val="0"/>
          <w:bCs/>
        </w:rPr>
      </w:pPr>
      <w:r>
        <w:rPr>
          <w:rFonts w:hint="eastAsia" w:ascii="宋体" w:hAnsi="宋体"/>
          <w:b w:val="0"/>
          <w:bCs/>
          <w:kern w:val="0"/>
        </w:rPr>
        <w:t>投标文件与招标文件存在严重背离等其他问题的。</w:t>
      </w:r>
    </w:p>
    <w:p>
      <w:pPr>
        <w:spacing w:line="240" w:lineRule="auto"/>
        <w:rPr>
          <w:rFonts w:hint="eastAsia" w:ascii="宋体" w:hAnsi="宋体" w:eastAsia="宋体"/>
          <w:b/>
          <w:lang w:eastAsia="zh-CN"/>
        </w:rPr>
      </w:pPr>
      <w:r>
        <w:rPr>
          <w:rFonts w:hint="eastAsia" w:ascii="宋体" w:hAnsi="宋体"/>
          <w:b/>
        </w:rPr>
        <w:t>十一、</w:t>
      </w:r>
      <w:r>
        <w:rPr>
          <w:rFonts w:hint="eastAsia" w:ascii="宋体" w:hAnsi="宋体"/>
          <w:b/>
          <w:lang w:val="en-US" w:eastAsia="zh-CN"/>
        </w:rPr>
        <w:t>结算及付款方式：</w:t>
      </w:r>
    </w:p>
    <w:p>
      <w:pPr>
        <w:numPr>
          <w:ilvl w:val="0"/>
          <w:numId w:val="10"/>
        </w:numPr>
        <w:spacing w:line="240" w:lineRule="auto"/>
        <w:ind w:left="0" w:leftChars="0" w:firstLine="480" w:firstLineChars="200"/>
        <w:rPr>
          <w:rFonts w:ascii="宋体" w:hAnsi="宋体"/>
        </w:rPr>
      </w:pPr>
      <w:r>
        <w:rPr>
          <w:rFonts w:hint="eastAsia" w:ascii="宋体" w:hAnsi="宋体"/>
        </w:rPr>
        <w:t>承包费用按月分期支付，由乙方开具符合财务规定的票据，并经甲方审核、批准后，每月25号前核付上月费用，付款方式：现汇。</w:t>
      </w:r>
    </w:p>
    <w:p>
      <w:pPr>
        <w:numPr>
          <w:ilvl w:val="0"/>
          <w:numId w:val="10"/>
        </w:numPr>
        <w:spacing w:line="240" w:lineRule="auto"/>
        <w:ind w:left="0" w:leftChars="0" w:firstLine="480" w:firstLineChars="200"/>
        <w:rPr>
          <w:rFonts w:hint="eastAsia" w:ascii="宋体" w:hAnsi="宋体"/>
          <w:b/>
        </w:rPr>
      </w:pPr>
      <w:r>
        <w:rPr>
          <w:rFonts w:hint="eastAsia" w:ascii="宋体" w:hAnsi="宋体"/>
          <w:lang w:val="en-US" w:eastAsia="zh-CN"/>
        </w:rPr>
        <w:t>实施</w:t>
      </w:r>
      <w:r>
        <w:rPr>
          <w:rFonts w:hint="eastAsia" w:ascii="宋体" w:hAnsi="宋体"/>
        </w:rPr>
        <w:t>地点：芜湖新兴铸管有限责任公司三山区现场。</w:t>
      </w:r>
    </w:p>
    <w:p>
      <w:pPr>
        <w:numPr>
          <w:ilvl w:val="0"/>
          <w:numId w:val="0"/>
        </w:numPr>
        <w:spacing w:line="240" w:lineRule="auto"/>
        <w:rPr>
          <w:rFonts w:hint="eastAsia" w:ascii="宋体" w:hAnsi="宋体"/>
          <w:b/>
        </w:rPr>
      </w:pPr>
      <w:r>
        <w:rPr>
          <w:rFonts w:hint="eastAsia" w:ascii="宋体" w:hAnsi="宋体"/>
          <w:b/>
        </w:rPr>
        <w:t>十二、评标标准</w:t>
      </w:r>
    </w:p>
    <w:p>
      <w:pPr>
        <w:spacing w:line="240" w:lineRule="auto"/>
        <w:ind w:left="730" w:leftChars="304"/>
        <w:rPr>
          <w:rFonts w:hint="eastAsia" w:ascii="宋体" w:hAnsi="宋体" w:cs="宋体"/>
        </w:rPr>
      </w:pPr>
      <w:r>
        <w:rPr>
          <w:rFonts w:hint="eastAsia" w:ascii="宋体" w:hAnsi="宋体" w:cs="宋体"/>
        </w:rPr>
        <w:t>本次采取综合评分方式进行评标。</w:t>
      </w:r>
    </w:p>
    <w:p>
      <w:pPr>
        <w:spacing w:line="240" w:lineRule="auto"/>
        <w:ind w:left="730"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spacing w:line="240" w:lineRule="auto"/>
        <w:ind w:left="730" w:leftChars="304"/>
        <w:rPr>
          <w:b/>
        </w:rPr>
      </w:pPr>
      <w:r>
        <w:rPr>
          <w:rFonts w:hint="eastAsia" w:ascii="宋体" w:hAnsi="宋体" w:cs="宋体"/>
          <w:color w:val="auto"/>
          <w:sz w:val="24"/>
          <w:szCs w:val="24"/>
          <w:lang w:val="en-US" w:eastAsia="zh-CN"/>
        </w:rPr>
        <w:t>评分标准：价格60分，方案等20分；业绩15分；企业信誉5分。</w:t>
      </w:r>
    </w:p>
    <w:p>
      <w:pPr>
        <w:spacing w:line="240" w:lineRule="auto"/>
        <w:rPr>
          <w:rFonts w:hint="eastAsia"/>
          <w:b/>
        </w:rPr>
      </w:pPr>
      <w:r>
        <w:rPr>
          <w:rFonts w:hint="eastAsia"/>
          <w:b/>
        </w:rPr>
        <w:t>十三、其他要求</w:t>
      </w:r>
    </w:p>
    <w:p>
      <w:pPr>
        <w:numPr>
          <w:ilvl w:val="0"/>
          <w:numId w:val="0"/>
        </w:numPr>
        <w:adjustRightInd w:val="0"/>
        <w:snapToGrid w:val="0"/>
        <w:spacing w:line="240" w:lineRule="auto"/>
        <w:ind w:firstLine="480" w:firstLineChars="200"/>
        <w:jc w:val="left"/>
        <w:rPr>
          <w:rFonts w:hint="eastAsia"/>
        </w:rPr>
      </w:pPr>
      <w:r>
        <w:rPr>
          <w:rFonts w:hint="eastAsia"/>
          <w:lang w:val="en-US" w:eastAsia="zh-CN"/>
        </w:rPr>
        <w:t>1、</w:t>
      </w:r>
      <w:r>
        <w:rPr>
          <w:rFonts w:hint="eastAsia"/>
        </w:rPr>
        <w:t>养护工作范围：荷塘月色小区、厂区内（所有管辖区域）和单身楼绿化土地整理、苗木树木移栽补种、绿地拔草、浇水、施肥、灭虫、修剪等所有相关养护工作（总面积约为38万平米）。</w:t>
      </w:r>
    </w:p>
    <w:p>
      <w:pPr>
        <w:numPr>
          <w:ilvl w:val="0"/>
          <w:numId w:val="0"/>
        </w:numPr>
        <w:adjustRightInd w:val="0"/>
        <w:snapToGrid w:val="0"/>
        <w:spacing w:line="240" w:lineRule="auto"/>
        <w:ind w:firstLine="480" w:firstLineChars="200"/>
        <w:jc w:val="left"/>
        <w:rPr>
          <w:rFonts w:hint="eastAsia"/>
        </w:rPr>
      </w:pPr>
      <w:r>
        <w:rPr>
          <w:rFonts w:hint="eastAsia"/>
          <w:lang w:val="en-US" w:eastAsia="zh-CN"/>
        </w:rPr>
        <w:t>2、</w:t>
      </w:r>
      <w:r>
        <w:rPr>
          <w:rFonts w:hint="eastAsia"/>
        </w:rPr>
        <w:t>人员要求：每天出勤的绿化养护人员要求30人，其中男工比例不低于30%，且身体健康。我公司有权对绿化人员的所有工作内容进行调配。</w:t>
      </w:r>
    </w:p>
    <w:p>
      <w:pPr>
        <w:numPr>
          <w:ilvl w:val="0"/>
          <w:numId w:val="0"/>
        </w:numPr>
        <w:adjustRightInd w:val="0"/>
        <w:snapToGrid w:val="0"/>
        <w:spacing w:line="240" w:lineRule="auto"/>
        <w:ind w:firstLine="480" w:firstLineChars="200"/>
        <w:jc w:val="left"/>
        <w:rPr>
          <w:rFonts w:hint="eastAsia"/>
        </w:rPr>
      </w:pPr>
      <w:r>
        <w:rPr>
          <w:rFonts w:hint="eastAsia"/>
          <w:lang w:val="en-US" w:eastAsia="zh-CN"/>
        </w:rPr>
        <w:t>3、</w:t>
      </w:r>
      <w:r>
        <w:rPr>
          <w:rFonts w:hint="eastAsia"/>
        </w:rPr>
        <w:t>物资要求：需提供绿化养护过程中所需要的各项设备设施和劳动工具，如洒水车、清运车、割草机、绿篱机、剪刀、铁锹等，期间产生的燃料费、维修费等也均由承揽方负责。上述所有设备设施必须为承揽方所有，非外租或临时借用。</w:t>
      </w:r>
    </w:p>
    <w:p>
      <w:pPr>
        <w:numPr>
          <w:ilvl w:val="0"/>
          <w:numId w:val="0"/>
        </w:numPr>
        <w:adjustRightInd w:val="0"/>
        <w:snapToGrid w:val="0"/>
        <w:spacing w:line="240" w:lineRule="auto"/>
        <w:ind w:firstLine="480" w:firstLineChars="200"/>
        <w:jc w:val="left"/>
        <w:rPr>
          <w:rFonts w:hint="eastAsia"/>
        </w:rPr>
      </w:pPr>
      <w:r>
        <w:rPr>
          <w:rFonts w:hint="eastAsia"/>
          <w:lang w:val="en-US" w:eastAsia="zh-CN"/>
        </w:rPr>
        <w:t>4、</w:t>
      </w:r>
      <w:r>
        <w:rPr>
          <w:rFonts w:hint="eastAsia"/>
        </w:rPr>
        <w:t>其他要求：养护过程中需要使用的肥料和草籽等由我公司负责，农药、杀虫剂等由承揽方负责按国家规定合规采购及残留物处理。</w:t>
      </w:r>
    </w:p>
    <w:p>
      <w:pPr>
        <w:numPr>
          <w:ilvl w:val="0"/>
          <w:numId w:val="0"/>
        </w:numPr>
        <w:adjustRightInd w:val="0"/>
        <w:snapToGrid w:val="0"/>
        <w:spacing w:line="240" w:lineRule="auto"/>
        <w:ind w:firstLine="480" w:firstLineChars="200"/>
        <w:jc w:val="left"/>
        <w:rPr>
          <w:rFonts w:hint="default" w:eastAsia="宋体"/>
          <w:lang w:val="en-US" w:eastAsia="zh-CN"/>
        </w:rPr>
      </w:pPr>
      <w:r>
        <w:rPr>
          <w:rFonts w:hint="eastAsia"/>
          <w:lang w:val="en-US" w:eastAsia="zh-CN"/>
        </w:rPr>
        <w:t>5、承揽期限：一年。</w:t>
      </w:r>
    </w:p>
    <w:p>
      <w:pPr>
        <w:numPr>
          <w:ilvl w:val="0"/>
          <w:numId w:val="0"/>
        </w:numPr>
        <w:adjustRightInd w:val="0"/>
        <w:snapToGrid w:val="0"/>
        <w:spacing w:line="240" w:lineRule="auto"/>
        <w:ind w:firstLine="480" w:firstLineChars="200"/>
        <w:jc w:val="left"/>
        <w:rPr>
          <w:rFonts w:hint="eastAsia"/>
        </w:rPr>
      </w:pPr>
    </w:p>
    <w:p>
      <w:pPr>
        <w:numPr>
          <w:ilvl w:val="0"/>
          <w:numId w:val="0"/>
        </w:numPr>
        <w:adjustRightInd w:val="0"/>
        <w:snapToGrid w:val="0"/>
        <w:spacing w:line="240" w:lineRule="auto"/>
        <w:ind w:firstLine="480" w:firstLineChars="200"/>
        <w:jc w:val="left"/>
        <w:rPr>
          <w:rFonts w:hint="eastAsia"/>
        </w:rPr>
      </w:pPr>
      <w:r>
        <w:rPr>
          <w:rFonts w:hint="eastAsia"/>
        </w:rPr>
        <w:t>业绩要求：承揽方须提供累积200万元以上的绿化养护业绩证明。</w:t>
      </w:r>
    </w:p>
    <w:p>
      <w:pPr>
        <w:numPr>
          <w:ilvl w:val="0"/>
          <w:numId w:val="0"/>
        </w:numPr>
        <w:adjustRightInd w:val="0"/>
        <w:snapToGrid w:val="0"/>
        <w:spacing w:line="240" w:lineRule="auto"/>
        <w:ind w:firstLine="480" w:firstLineChars="200"/>
        <w:jc w:val="left"/>
        <w:rPr>
          <w:rFonts w:hint="eastAsia"/>
        </w:rPr>
      </w:pPr>
    </w:p>
    <w:p>
      <w:pPr>
        <w:numPr>
          <w:ilvl w:val="0"/>
          <w:numId w:val="0"/>
        </w:numPr>
        <w:adjustRightInd w:val="0"/>
        <w:snapToGrid w:val="0"/>
        <w:spacing w:line="240" w:lineRule="auto"/>
        <w:ind w:firstLine="480" w:firstLineChars="200"/>
        <w:jc w:val="left"/>
        <w:rPr>
          <w:rFonts w:hint="eastAsia"/>
          <w:lang w:eastAsia="zh-CN"/>
        </w:rPr>
      </w:pPr>
      <w:r>
        <w:rPr>
          <w:rFonts w:hint="eastAsia"/>
          <w:lang w:eastAsia="zh-CN"/>
        </w:rPr>
        <w:t>本次招标项目最高投标限</w:t>
      </w:r>
      <w:bookmarkStart w:id="0" w:name="_GoBack"/>
      <w:bookmarkEnd w:id="0"/>
      <w:r>
        <w:rPr>
          <w:rFonts w:hint="eastAsia"/>
          <w:lang w:eastAsia="zh-CN"/>
        </w:rPr>
        <w:t>价为：</w:t>
      </w:r>
      <w:r>
        <w:rPr>
          <w:rFonts w:hint="eastAsia"/>
          <w:lang w:val="en-US" w:eastAsia="zh-CN"/>
        </w:rPr>
        <w:t>12</w:t>
      </w:r>
      <w:r>
        <w:rPr>
          <w:rFonts w:hint="eastAsia"/>
          <w:lang w:eastAsia="zh-CN"/>
        </w:rPr>
        <w:t>万</w:t>
      </w:r>
      <w:r>
        <w:rPr>
          <w:rFonts w:hint="eastAsia"/>
          <w:lang w:val="en-US" w:eastAsia="zh-CN"/>
        </w:rPr>
        <w:t>/月</w:t>
      </w:r>
      <w:r>
        <w:rPr>
          <w:rFonts w:hint="eastAsia"/>
          <w:lang w:eastAsia="zh-CN"/>
        </w:rPr>
        <w:t>（大写：</w:t>
      </w:r>
      <w:r>
        <w:rPr>
          <w:rFonts w:hint="eastAsia"/>
          <w:lang w:val="en-US" w:eastAsia="zh-CN"/>
        </w:rPr>
        <w:t>壹拾贰</w:t>
      </w:r>
      <w:r>
        <w:rPr>
          <w:rFonts w:hint="eastAsia"/>
          <w:lang w:eastAsia="zh-CN"/>
        </w:rPr>
        <w:t>万圆</w:t>
      </w:r>
      <w:r>
        <w:rPr>
          <w:rFonts w:hint="eastAsia"/>
          <w:lang w:val="en-US" w:eastAsia="zh-CN"/>
        </w:rPr>
        <w:t>/月</w:t>
      </w:r>
      <w:r>
        <w:rPr>
          <w:rFonts w:hint="eastAsia"/>
          <w:lang w:eastAsia="zh-CN"/>
        </w:rPr>
        <w:t>），报价高于此最高投标限价的作废标处理。</w:t>
      </w:r>
    </w:p>
    <w:p>
      <w:pPr>
        <w:numPr>
          <w:ilvl w:val="0"/>
          <w:numId w:val="0"/>
        </w:numPr>
        <w:adjustRightInd w:val="0"/>
        <w:snapToGrid w:val="0"/>
        <w:spacing w:line="240" w:lineRule="auto"/>
        <w:ind w:firstLine="480" w:firstLineChars="200"/>
        <w:jc w:val="left"/>
        <w:rPr>
          <w:rFonts w:hint="default"/>
          <w:lang w:val="en-US" w:eastAsia="zh-CN"/>
        </w:rPr>
      </w:pPr>
    </w:p>
    <w:p>
      <w:pPr>
        <w:numPr>
          <w:ilvl w:val="0"/>
          <w:numId w:val="0"/>
        </w:numPr>
        <w:adjustRightInd w:val="0"/>
        <w:snapToGrid w:val="0"/>
        <w:spacing w:line="240" w:lineRule="auto"/>
        <w:jc w:val="left"/>
        <w:rPr>
          <w:rFonts w:hint="eastAsia" w:ascii="宋体" w:hAnsi="宋体"/>
          <w:b/>
          <w:bCs/>
          <w:sz w:val="28"/>
          <w:szCs w:val="28"/>
          <w:lang w:val="en-US" w:eastAsia="zh-CN"/>
        </w:rPr>
      </w:pPr>
    </w:p>
    <w:p>
      <w:pPr>
        <w:numPr>
          <w:ilvl w:val="0"/>
          <w:numId w:val="0"/>
        </w:numPr>
        <w:adjustRightInd w:val="0"/>
        <w:snapToGrid w:val="0"/>
        <w:spacing w:line="240" w:lineRule="auto"/>
        <w:jc w:val="right"/>
        <w:rPr>
          <w:rFonts w:hint="eastAsia" w:ascii="宋体" w:hAnsi="宋体"/>
          <w:b/>
          <w:bCs/>
          <w:sz w:val="28"/>
          <w:szCs w:val="28"/>
          <w:lang w:val="en-US" w:eastAsia="zh-CN"/>
        </w:rPr>
      </w:pPr>
      <w:r>
        <w:rPr>
          <w:rFonts w:hint="eastAsia" w:ascii="宋体" w:hAnsi="宋体"/>
          <w:b/>
          <w:bCs/>
          <w:sz w:val="28"/>
          <w:szCs w:val="28"/>
          <w:lang w:val="en-US" w:eastAsia="zh-CN"/>
        </w:rPr>
        <w:t>芜湖新兴铸管有限责任公司</w:t>
      </w:r>
    </w:p>
    <w:p>
      <w:pPr>
        <w:numPr>
          <w:ilvl w:val="0"/>
          <w:numId w:val="0"/>
        </w:numPr>
        <w:wordWrap w:val="0"/>
        <w:adjustRightInd w:val="0"/>
        <w:snapToGrid w:val="0"/>
        <w:spacing w:line="240" w:lineRule="auto"/>
        <w:jc w:val="right"/>
        <w:rPr>
          <w:rFonts w:hint="default" w:ascii="宋体" w:hAnsi="宋体"/>
          <w:lang w:val="en-US" w:eastAsia="zh-CN"/>
        </w:rPr>
      </w:pPr>
      <w:r>
        <w:rPr>
          <w:rFonts w:hint="eastAsia" w:ascii="宋体" w:hAnsi="宋体"/>
          <w:b/>
          <w:bCs/>
          <w:sz w:val="28"/>
          <w:szCs w:val="28"/>
          <w:lang w:val="en-US" w:eastAsia="zh-CN"/>
        </w:rPr>
        <w:t xml:space="preserve">2020-12-21  </w:t>
      </w:r>
      <w:r>
        <w:rPr>
          <w:rFonts w:hint="eastAsia" w:ascii="宋体" w:hAnsi="宋体"/>
          <w:lang w:val="en-US" w:eastAsia="zh-CN"/>
        </w:rPr>
        <w:t xml:space="preserve">  </w:t>
      </w:r>
    </w:p>
    <w:p>
      <w:pPr>
        <w:spacing w:line="240" w:lineRule="auto"/>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876" w:firstLine="400"/>
      </w:pPr>
      <w:rPr>
        <w:rFonts w:hint="default"/>
      </w:rPr>
    </w:lvl>
  </w:abstractNum>
  <w:abstractNum w:abstractNumId="1">
    <w:nsid w:val="9726F0C2"/>
    <w:multiLevelType w:val="singleLevel"/>
    <w:tmpl w:val="9726F0C2"/>
    <w:lvl w:ilvl="0" w:tentative="0">
      <w:start w:val="1"/>
      <w:numFmt w:val="decimal"/>
      <w:suff w:val="nothing"/>
      <w:lvlText w:val="%1．"/>
      <w:lvlJc w:val="left"/>
      <w:pPr>
        <w:ind w:left="0" w:firstLine="400"/>
      </w:pPr>
      <w:rPr>
        <w:rFonts w:hint="default"/>
      </w:rPr>
    </w:lvl>
  </w:abstractNum>
  <w:abstractNum w:abstractNumId="2">
    <w:nsid w:val="BEBFC349"/>
    <w:multiLevelType w:val="singleLevel"/>
    <w:tmpl w:val="BEBFC349"/>
    <w:lvl w:ilvl="0" w:tentative="0">
      <w:start w:val="1"/>
      <w:numFmt w:val="decimal"/>
      <w:suff w:val="nothing"/>
      <w:lvlText w:val="%1．"/>
      <w:lvlJc w:val="left"/>
      <w:pPr>
        <w:ind w:left="0" w:firstLine="400"/>
      </w:pPr>
      <w:rPr>
        <w:rFonts w:hint="default"/>
      </w:rPr>
    </w:lvl>
  </w:abstractNum>
  <w:abstractNum w:abstractNumId="3">
    <w:nsid w:val="DFF0FD42"/>
    <w:multiLevelType w:val="singleLevel"/>
    <w:tmpl w:val="DFF0FD42"/>
    <w:lvl w:ilvl="0" w:tentative="0">
      <w:start w:val="1"/>
      <w:numFmt w:val="decimal"/>
      <w:suff w:val="space"/>
      <w:lvlText w:val="%1."/>
      <w:lvlJc w:val="left"/>
    </w:lvl>
  </w:abstractNum>
  <w:abstractNum w:abstractNumId="4">
    <w:nsid w:val="FDEFB2C9"/>
    <w:multiLevelType w:val="singleLevel"/>
    <w:tmpl w:val="FDEFB2C9"/>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B"/>
    <w:multiLevelType w:val="singleLevel"/>
    <w:tmpl w:val="0000000B"/>
    <w:lvl w:ilvl="0" w:tentative="0">
      <w:start w:val="1"/>
      <w:numFmt w:val="decimal"/>
      <w:lvlText w:val="（%1）"/>
      <w:lvlJc w:val="left"/>
      <w:pPr>
        <w:tabs>
          <w:tab w:val="left" w:pos="1125"/>
        </w:tabs>
        <w:ind w:left="1125" w:hanging="705"/>
      </w:p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C8DB53C"/>
    <w:multiLevelType w:val="singleLevel"/>
    <w:tmpl w:val="5C8DB53C"/>
    <w:lvl w:ilvl="0" w:tentative="0">
      <w:start w:val="1"/>
      <w:numFmt w:val="decimal"/>
      <w:suff w:val="nothing"/>
      <w:lvlText w:val="%1．"/>
      <w:lvlJc w:val="left"/>
      <w:pPr>
        <w:ind w:left="0" w:firstLine="400"/>
      </w:pPr>
      <w:rPr>
        <w:rFonts w:hint="default"/>
      </w:rPr>
    </w:lvl>
  </w:abstractNum>
  <w:abstractNum w:abstractNumId="9">
    <w:nsid w:val="6DA18680"/>
    <w:multiLevelType w:val="singleLevel"/>
    <w:tmpl w:val="6DA18680"/>
    <w:lvl w:ilvl="0" w:tentative="0">
      <w:start w:val="1"/>
      <w:numFmt w:val="decimal"/>
      <w:suff w:val="nothing"/>
      <w:lvlText w:val="%1．"/>
      <w:lvlJc w:val="left"/>
      <w:pPr>
        <w:ind w:left="0" w:firstLine="400"/>
      </w:pPr>
      <w:rPr>
        <w:rFonts w:hint="default"/>
      </w:rPr>
    </w:lvl>
  </w:abstractNum>
  <w:num w:numId="1">
    <w:abstractNumId w:val="5"/>
    <w:lvlOverride w:ilvl="0">
      <w:startOverride w:val="1"/>
    </w:lvlOverride>
  </w:num>
  <w:num w:numId="2">
    <w:abstractNumId w:val="3"/>
  </w:num>
  <w:num w:numId="3">
    <w:abstractNumId w:val="4"/>
  </w:num>
  <w:num w:numId="4">
    <w:abstractNumId w:val="6"/>
    <w:lvlOverride w:ilvl="0">
      <w:startOverride w:val="1"/>
    </w:lvlOverride>
  </w:num>
  <w:num w:numId="5">
    <w:abstractNumId w:val="7"/>
  </w:num>
  <w:num w:numId="6">
    <w:abstractNumId w:val="8"/>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76D2"/>
    <w:rsid w:val="00BF500A"/>
    <w:rsid w:val="015C2324"/>
    <w:rsid w:val="04D06E6C"/>
    <w:rsid w:val="08ED7120"/>
    <w:rsid w:val="0C9752A4"/>
    <w:rsid w:val="0F416896"/>
    <w:rsid w:val="0F492B68"/>
    <w:rsid w:val="118B5351"/>
    <w:rsid w:val="12397985"/>
    <w:rsid w:val="13817F81"/>
    <w:rsid w:val="153E2A34"/>
    <w:rsid w:val="169B4D9D"/>
    <w:rsid w:val="19737507"/>
    <w:rsid w:val="197D1E1B"/>
    <w:rsid w:val="1A933E98"/>
    <w:rsid w:val="1C597FEA"/>
    <w:rsid w:val="1D005DBF"/>
    <w:rsid w:val="224C5A12"/>
    <w:rsid w:val="234B2E92"/>
    <w:rsid w:val="2A961614"/>
    <w:rsid w:val="2FAE7B5A"/>
    <w:rsid w:val="32DD06B4"/>
    <w:rsid w:val="39DF05C3"/>
    <w:rsid w:val="3C086611"/>
    <w:rsid w:val="45E92497"/>
    <w:rsid w:val="4ACD55B1"/>
    <w:rsid w:val="4F346C81"/>
    <w:rsid w:val="52093306"/>
    <w:rsid w:val="524D6287"/>
    <w:rsid w:val="52706FDC"/>
    <w:rsid w:val="52C837A7"/>
    <w:rsid w:val="54BA13C0"/>
    <w:rsid w:val="5A837FE6"/>
    <w:rsid w:val="5B3114FE"/>
    <w:rsid w:val="5B7951DB"/>
    <w:rsid w:val="5FD05B2E"/>
    <w:rsid w:val="61CE567B"/>
    <w:rsid w:val="66482AD9"/>
    <w:rsid w:val="66B55917"/>
    <w:rsid w:val="66E80154"/>
    <w:rsid w:val="688E02AA"/>
    <w:rsid w:val="6D8F626B"/>
    <w:rsid w:val="75B41796"/>
    <w:rsid w:val="7E9D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0"/>
    <w:basedOn w:val="1"/>
    <w:qFormat/>
    <w:uiPriority w:val="0"/>
  </w:style>
  <w:style w:type="paragraph" w:customStyle="1" w:styleId="7">
    <w:name w:val="Plain Text1"/>
    <w:basedOn w:val="1"/>
    <w:qFormat/>
    <w:uiPriority w:val="0"/>
    <w:rPr>
      <w:rFonts w:ascii="宋体fal" w:hAnsi="Courier New" w:cs="宋体f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李全清</cp:lastModifiedBy>
  <dcterms:modified xsi:type="dcterms:W3CDTF">2020-12-21T06:32:10Z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