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/>
          <w:b/>
          <w:bCs/>
          <w:sz w:val="32"/>
          <w:szCs w:val="28"/>
          <w:lang w:eastAsia="zh-CN"/>
        </w:rPr>
        <w:t>轧辊修复报价表（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含税报价，税率</w:t>
      </w:r>
      <w:r>
        <w:rPr>
          <w:rFonts w:hint="eastAsia" w:ascii="宋体" w:hAnsi="宋体"/>
          <w:b/>
          <w:bCs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%</w:t>
      </w:r>
      <w:r>
        <w:rPr>
          <w:rFonts w:hint="eastAsia" w:ascii="宋体" w:hAnsi="宋体"/>
          <w:b/>
          <w:bCs/>
          <w:sz w:val="32"/>
          <w:szCs w:val="28"/>
          <w:lang w:eastAsia="zh-CN"/>
        </w:rPr>
        <w:t>）</w:t>
      </w:r>
    </w:p>
    <w:p>
      <w:pPr>
        <w:spacing w:line="400" w:lineRule="exact"/>
        <w:rPr>
          <w:rFonts w:ascii="宋体" w:hAnsi="宋体"/>
          <w:sz w:val="28"/>
        </w:rPr>
      </w:pPr>
    </w:p>
    <w:tbl>
      <w:tblPr>
        <w:tblStyle w:val="2"/>
        <w:tblW w:w="9217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19"/>
        <w:gridCol w:w="1800"/>
        <w:gridCol w:w="1080"/>
        <w:gridCol w:w="1688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4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轧辊规格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图号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  量（根）</w:t>
            </w:r>
          </w:p>
        </w:tc>
        <w:tc>
          <w:tcPr>
            <w:tcW w:w="16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含税单价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元/根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26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960</w:t>
            </w: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4.971116.K/009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850*900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4.754365.H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579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合计金额：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合计金额大写：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工期：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2020-10-12T05:57:09Z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