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2" w:tblpY="2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306"/>
        <w:gridCol w:w="143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  <w:vertAlign w:val="baseline"/>
                <w:lang w:eastAsia="zh-CN"/>
              </w:rPr>
              <w:t>标段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  <w:vertAlign w:val="baseline"/>
                <w:lang w:eastAsia="zh-CN"/>
              </w:rPr>
              <w:t>检修项目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eastAsia="宋体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eastAsia="宋体"/>
                <w:kern w:val="0"/>
                <w:vertAlign w:val="baseline"/>
                <w:lang w:eastAsia="zh-CN"/>
              </w:rPr>
            </w:pPr>
            <w:r>
              <w:rPr>
                <w:rFonts w:hint="eastAsia"/>
                <w:kern w:val="0"/>
                <w:vertAlign w:val="baseline"/>
                <w:lang w:eastAsia="zh-CN"/>
              </w:rPr>
              <w:t>工期（</w:t>
            </w:r>
            <w:r>
              <w:rPr>
                <w:rFonts w:hint="eastAsia"/>
                <w:kern w:val="0"/>
                <w:vertAlign w:val="baseline"/>
                <w:lang w:val="en-US" w:eastAsia="zh-CN"/>
              </w:rPr>
              <w:t>天</w:t>
            </w:r>
            <w:r>
              <w:rPr>
                <w:rFonts w:hint="eastAsia"/>
                <w:kern w:val="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vertAlign w:val="baseline"/>
                <w:lang w:val="en-US" w:eastAsia="zh-CN"/>
              </w:rPr>
              <w:t>一</w:t>
            </w: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7#225吨铸造吊更换主钩卷筒联轴器2个；更换主钩定滑轮2组；更换主小车减速机2台及主小车主动轮2个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default" w:eastAsia="宋体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</w:rPr>
            </w:pP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更换4台10t电葫芦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检修行车用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）；</w:t>
            </w:r>
          </w:p>
        </w:tc>
        <w:tc>
          <w:tcPr>
            <w:tcW w:w="1436" w:type="dxa"/>
            <w:vMerge w:val="continue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  <w:tc>
          <w:tcPr>
            <w:tcW w:w="877" w:type="dxa"/>
            <w:vMerge w:val="continue"/>
            <w:tcBorders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</w:rPr>
            </w:pP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24#行车棒磨行车增加电器仓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continue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  <w:tc>
          <w:tcPr>
            <w:tcW w:w="877" w:type="dxa"/>
            <w:vMerge w:val="continue"/>
            <w:tcBorders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vertAlign w:val="baseline"/>
                <w:lang w:val="en-US" w:eastAsia="zh-CN"/>
              </w:rPr>
              <w:t>二</w:t>
            </w: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12#225吨铸造吊更换主小车减速机1台及主小车主动轮1个；更换6个大车车轮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eastAsia="宋体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</w:rPr>
            </w:pP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14#100吨行车更换主钩卷筒联轴器2个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continue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  <w:tc>
          <w:tcPr>
            <w:tcW w:w="877" w:type="dxa"/>
            <w:vMerge w:val="continue"/>
            <w:tcBorders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vertAlign w:val="baseline"/>
                <w:lang w:val="en-US" w:eastAsia="zh-CN"/>
              </w:rPr>
              <w:t>三</w:t>
            </w: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1#2#19#20#21#行车大车起拱（采用钢绞线形式）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eastAsia="宋体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Merge w:val="restart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</w:rPr>
            </w:pP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18#19#25#行车局部做防腐及保温层更换加固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vMerge w:val="continue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  <w:tc>
          <w:tcPr>
            <w:tcW w:w="877" w:type="dxa"/>
            <w:vMerge w:val="continue"/>
            <w:tcBorders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3" w:type="dxa"/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vertAlign w:val="baseline"/>
                <w:lang w:val="en-US" w:eastAsia="zh-CN"/>
              </w:rPr>
              <w:t>四</w:t>
            </w: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加料、钢水接收跨的主滑线校平，瓷瓶清理、更换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eastAsia="宋体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3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  <w:tc>
          <w:tcPr>
            <w:tcW w:w="5306" w:type="dxa"/>
            <w:noWrap w:val="0"/>
            <w:vAlign w:val="top"/>
          </w:tcPr>
          <w:p>
            <w:pPr>
              <w:widowControl/>
              <w:spacing w:line="375" w:lineRule="atLeast"/>
              <w:jc w:val="right"/>
              <w:rPr>
                <w:rFonts w:hint="default" w:eastAsia="宋体"/>
                <w:color w:val="00B0F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合计金额小写：</w:t>
            </w:r>
          </w:p>
        </w:tc>
        <w:tc>
          <w:tcPr>
            <w:tcW w:w="2313" w:type="dxa"/>
            <w:gridSpan w:val="2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kern w:val="0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炼钢行车维修报价表（含税报价）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标段一、二检修更换材料备件由炼钢部提供；标段三所需材料由承揽方提供；标段四所需备件材料由炼钢部提供。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合计金额大写：</w:t>
      </w:r>
      <w:bookmarkStart w:id="0" w:name="_GoBack"/>
      <w:bookmarkEnd w:id="0"/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税率：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40"/>
          <w:lang w:val="en-US" w:eastAsia="zh-CN"/>
        </w:rPr>
        <w:t>%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报价单位（公章）：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B5217"/>
    <w:rsid w:val="28063952"/>
    <w:rsid w:val="2EF342F3"/>
    <w:rsid w:val="31C5213E"/>
    <w:rsid w:val="4C951F32"/>
    <w:rsid w:val="54D34FA7"/>
    <w:rsid w:val="65160615"/>
    <w:rsid w:val="6C4A1D19"/>
    <w:rsid w:val="771B50B1"/>
    <w:rsid w:val="7E1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2020-10-16T06:51:02Z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