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lang w:eastAsia="zh-CN"/>
        </w:rPr>
      </w:pPr>
      <w:r>
        <w:rPr>
          <w:rFonts w:hint="eastAsia" w:ascii="宋体" w:hAnsi="宋体"/>
          <w:b/>
          <w:sz w:val="36"/>
          <w:szCs w:val="36"/>
        </w:rPr>
        <w:t>芜湖新兴铸管</w:t>
      </w:r>
      <w:r>
        <w:rPr>
          <w:rFonts w:hint="eastAsia" w:ascii="宋体" w:hAnsi="宋体" w:cs="Times New Roman"/>
          <w:b/>
          <w:sz w:val="36"/>
          <w:szCs w:val="36"/>
          <w:lang w:eastAsia="zh-CN"/>
        </w:rPr>
        <w:t>轧钢废钢切割清理</w:t>
      </w:r>
    </w:p>
    <w:p>
      <w:pPr>
        <w:jc w:val="center"/>
        <w:rPr>
          <w:rFonts w:ascii="宋体" w:hAnsi="宋体"/>
          <w:sz w:val="84"/>
          <w:szCs w:val="84"/>
        </w:rPr>
      </w:pPr>
      <w:r>
        <w:rPr>
          <w:rFonts w:hint="eastAsia" w:ascii="宋体" w:hAnsi="宋体" w:cs="Times New Roman"/>
          <w:b/>
          <w:sz w:val="44"/>
          <w:szCs w:val="44"/>
        </w:rPr>
        <w:t>招标</w:t>
      </w:r>
      <w:r>
        <w:rPr>
          <w:rFonts w:hint="eastAsia" w:ascii="宋体" w:hAnsi="宋体"/>
          <w:b/>
          <w:sz w:val="44"/>
          <w:szCs w:val="44"/>
        </w:rPr>
        <w:t>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04</w:t>
      </w:r>
      <w:r>
        <w:rPr>
          <w:rFonts w:ascii="宋体" w:hAnsi="宋体"/>
          <w:color w:val="000000"/>
          <w:sz w:val="24"/>
          <w:szCs w:val="24"/>
        </w:rPr>
        <w:t>月</w:t>
      </w:r>
      <w:r>
        <w:rPr>
          <w:rFonts w:hint="eastAsia" w:ascii="宋体" w:hAnsi="宋体"/>
          <w:color w:val="000000"/>
          <w:sz w:val="24"/>
          <w:szCs w:val="24"/>
          <w:lang w:val="en-US" w:eastAsia="zh-CN"/>
        </w:rPr>
        <w:t>30</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2104030ZGFGQL</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eastAsia" w:ascii="宋体" w:hAnsi="宋体" w:eastAsiaTheme="minorEastAsia" w:cstheme="minorBidi"/>
          <w:bCs/>
          <w:color w:val="FF0000"/>
          <w:sz w:val="24"/>
          <w:szCs w:val="24"/>
          <w:lang w:val="en-US" w:eastAsia="zh-CN"/>
        </w:rPr>
      </w:pPr>
      <w:r>
        <w:rPr>
          <w:rFonts w:hint="eastAsia"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 xml:space="preserve">   规模：</w:t>
      </w:r>
      <w:r>
        <w:rPr>
          <w:rFonts w:hint="eastAsia" w:ascii="宋体" w:hAnsi="宋体" w:eastAsiaTheme="minorEastAsia" w:cstheme="minorBidi"/>
          <w:bCs/>
          <w:color w:val="FF0000"/>
          <w:sz w:val="24"/>
          <w:szCs w:val="24"/>
          <w:lang w:val="en-US" w:eastAsia="zh-CN"/>
        </w:rPr>
        <w:t>轧钢废钢切割清理</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30</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05</w:t>
      </w:r>
      <w:bookmarkStart w:id="0" w:name="_GoBack"/>
      <w:bookmarkEnd w:id="0"/>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12</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hint="default" w:ascii="宋体" w:hAnsi="宋体" w:eastAsia="宋体" w:cs="宋体"/>
          <w:bCs/>
          <w:color w:val="2A2A2A"/>
          <w:kern w:val="0"/>
          <w:sz w:val="24"/>
          <w:szCs w:val="24"/>
          <w:lang w:val="en-US" w:eastAsia="zh-CN"/>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宋体" w:cs="宋体"/>
          <w:bCs/>
          <w:color w:val="2A2A2A"/>
          <w:kern w:val="0"/>
          <w:sz w:val="24"/>
          <w:szCs w:val="24"/>
          <w:lang w:val="en-US" w:eastAsia="zh-CN"/>
        </w:rPr>
        <w:t>轧钢废钢切割清理</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widowControl w:val="0"/>
        <w:autoSpaceDE w:val="0"/>
        <w:spacing w:line="240" w:lineRule="auto"/>
        <w:ind w:left="210" w:leftChars="100" w:firstLine="720" w:firstLineChars="30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轧钢废钢切割清理</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eastAsia="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肆</w:t>
      </w:r>
      <w:r>
        <w:rPr>
          <w:rFonts w:hint="eastAsia" w:ascii="宋体" w:hAnsi="宋体" w:eastAsia="宋体" w:cs="宋体"/>
          <w:b/>
          <w:bCs w:val="0"/>
          <w:color w:val="FF0000"/>
          <w:sz w:val="24"/>
          <w:szCs w:val="24"/>
          <w:u w:val="single"/>
          <w:lang w:val="en-US" w:eastAsia="zh-CN"/>
        </w:rPr>
        <w:t>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04</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11</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eastAsia"/>
        </w:rPr>
      </w:pPr>
      <w:r>
        <w:rPr>
          <w:rFonts w:hint="eastAsia" w:ascii="宋体" w:hAnsi="宋体" w:eastAsia="宋体" w:cs="宋体"/>
          <w:b/>
          <w:bCs w:val="0"/>
          <w:sz w:val="24"/>
          <w:szCs w:val="24"/>
          <w:lang w:val="en-US" w:eastAsia="zh-CN"/>
        </w:rPr>
        <w:t>中标单位需缴纳60万安全保证金</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eastAsia="宋体" w:cs="宋体"/>
          <w:sz w:val="24"/>
          <w:szCs w:val="24"/>
          <w:lang w:val="en-US" w:eastAsia="zh-CN"/>
        </w:rPr>
        <w:t>4</w:t>
      </w:r>
      <w:r>
        <w:rPr>
          <w:rFonts w:hint="eastAsia" w:ascii="宋体" w:hAnsi="宋体" w:eastAsia="宋体" w:cs="宋体"/>
          <w:sz w:val="24"/>
          <w:szCs w:val="24"/>
        </w:rPr>
        <w:t>0分，资质、装备及工艺技术水平、业绩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cs="宋体"/>
          <w:sz w:val="24"/>
          <w:szCs w:val="24"/>
          <w:lang w:val="en-US" w:eastAsia="zh-CN"/>
        </w:rPr>
        <w:t>：</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投标单位</w:t>
      </w:r>
      <w:r>
        <w:rPr>
          <w:rFonts w:hint="eastAsia" w:ascii="宋体" w:hAnsi="宋体" w:cs="宋体"/>
          <w:sz w:val="24"/>
          <w:szCs w:val="24"/>
          <w:lang w:val="en-US" w:eastAsia="zh-CN"/>
        </w:rPr>
        <w:t>需</w:t>
      </w:r>
      <w:r>
        <w:rPr>
          <w:rFonts w:hint="eastAsia" w:ascii="宋体" w:hAnsi="宋体" w:eastAsia="宋体" w:cs="宋体"/>
          <w:sz w:val="24"/>
          <w:szCs w:val="24"/>
          <w:lang w:eastAsia="zh-CN"/>
        </w:rPr>
        <w:t>对作业现场进行勘察，确保了解作业环境及物资数量。预估数量</w:t>
      </w:r>
      <w:r>
        <w:rPr>
          <w:rFonts w:hint="eastAsia" w:ascii="宋体" w:hAnsi="宋体" w:cs="宋体"/>
          <w:sz w:val="24"/>
          <w:szCs w:val="24"/>
          <w:lang w:val="en-US" w:eastAsia="zh-CN"/>
        </w:rPr>
        <w:t>约为1200吨</w:t>
      </w:r>
      <w:r>
        <w:rPr>
          <w:rFonts w:hint="eastAsia" w:ascii="宋体" w:hAnsi="宋体" w:eastAsia="宋体" w:cs="宋体"/>
          <w:sz w:val="24"/>
          <w:szCs w:val="24"/>
          <w:lang w:eastAsia="zh-CN"/>
        </w:rPr>
        <w:t>，按实际过磅为准。</w:t>
      </w:r>
    </w:p>
    <w:p>
      <w:pPr>
        <w:ind w:left="638" w:leftChars="30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承揽方负责对</w:t>
      </w:r>
      <w:r>
        <w:rPr>
          <w:rFonts w:hint="eastAsia" w:ascii="宋体" w:hAnsi="宋体" w:eastAsia="宋体" w:cs="宋体"/>
          <w:sz w:val="24"/>
          <w:szCs w:val="24"/>
          <w:lang w:val="en-US" w:eastAsia="zh-CN"/>
        </w:rPr>
        <w:t>大棒车间江边跨</w:t>
      </w:r>
      <w:r>
        <w:rPr>
          <w:rFonts w:hint="eastAsia" w:ascii="宋体" w:hAnsi="宋体" w:eastAsia="宋体" w:cs="宋体"/>
          <w:sz w:val="24"/>
          <w:szCs w:val="24"/>
          <w:lang w:eastAsia="zh-CN"/>
        </w:rPr>
        <w:t>内</w:t>
      </w:r>
      <w:r>
        <w:rPr>
          <w:rFonts w:hint="eastAsia" w:ascii="宋体" w:hAnsi="宋体" w:eastAsia="宋体" w:cs="宋体"/>
          <w:sz w:val="24"/>
          <w:szCs w:val="24"/>
          <w:lang w:val="en-US" w:eastAsia="zh-CN"/>
        </w:rPr>
        <w:t>大棒2#加热炉钢结构、工艺管道、辅机设备及</w:t>
      </w:r>
      <w:r>
        <w:rPr>
          <w:rFonts w:hint="eastAsia" w:ascii="宋体" w:hAnsi="宋体" w:eastAsia="宋体" w:cs="宋体"/>
          <w:sz w:val="24"/>
          <w:szCs w:val="24"/>
          <w:lang w:eastAsia="zh-CN"/>
        </w:rPr>
        <w:t>大棒车间外（炼钢废钢区）有一台10+10吨行车需废钢分解</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需使用吊机配合</w:t>
      </w:r>
      <w:r>
        <w:rPr>
          <w:rFonts w:hint="eastAsia" w:ascii="宋体" w:hAnsi="宋体" w:eastAsia="宋体" w:cs="宋体"/>
          <w:sz w:val="24"/>
          <w:szCs w:val="24"/>
          <w:lang w:val="en-US" w:eastAsia="zh-CN"/>
        </w:rPr>
        <w:t>)等报废固资进行分拣、切割，</w:t>
      </w:r>
      <w:r>
        <w:rPr>
          <w:rFonts w:hint="eastAsia" w:ascii="宋体" w:hAnsi="宋体" w:eastAsia="宋体" w:cs="宋体"/>
          <w:sz w:val="24"/>
          <w:szCs w:val="24"/>
          <w:lang w:eastAsia="zh-CN"/>
        </w:rPr>
        <w:t>切割尺寸要求长度、宽度小于</w:t>
      </w:r>
      <w:r>
        <w:rPr>
          <w:rFonts w:hint="eastAsia" w:ascii="宋体" w:hAnsi="宋体" w:eastAsia="宋体" w:cs="宋体"/>
          <w:sz w:val="24"/>
          <w:szCs w:val="24"/>
          <w:lang w:val="en-US" w:eastAsia="zh-CN"/>
        </w:rPr>
        <w:t>800</w:t>
      </w:r>
      <w:r>
        <w:rPr>
          <w:rFonts w:hint="eastAsia" w:ascii="宋体" w:hAnsi="宋体" w:eastAsia="宋体" w:cs="宋体"/>
          <w:sz w:val="24"/>
          <w:szCs w:val="24"/>
          <w:lang w:eastAsia="zh-CN"/>
        </w:rPr>
        <w:t>mm</w:t>
      </w:r>
      <w:r>
        <w:rPr>
          <w:rFonts w:hint="eastAsia" w:ascii="宋体" w:hAnsi="宋体" w:eastAsia="宋体" w:cs="宋体"/>
          <w:sz w:val="24"/>
          <w:szCs w:val="24"/>
          <w:lang w:val="en-US" w:eastAsia="zh-CN"/>
        </w:rPr>
        <w:t>*600mm</w:t>
      </w:r>
      <w:r>
        <w:rPr>
          <w:rFonts w:hint="eastAsia" w:ascii="宋体" w:hAnsi="宋体" w:eastAsia="宋体" w:cs="宋体"/>
          <w:sz w:val="24"/>
          <w:szCs w:val="24"/>
          <w:lang w:eastAsia="zh-CN"/>
        </w:rPr>
        <w:t>；如使用气割，切割作业人员必须有特种作业许可证。</w:t>
      </w:r>
    </w:p>
    <w:p>
      <w:pPr>
        <w:ind w:left="638" w:leftChars="30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承揽方负责对切割好的废钢进行运输，倒运至炼钢车间废钢回收区域。倒运车辆必须满足国家相关法规要求。</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4、场地所有轻薄料需进行压块、废钢上非铁料清除后送炼钢部回收区域。最后现场清理干净，不得剩余废钢,废钢切割前业主进行确认，根据业主确认内容进行切割,废钢切割后装车须由业主单位检查、签字确认。</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5、如遇含不锈钢件需单独送炼钢部；废钢区域涉及的废旧电气设备（如淘汰电机等）不得切割，按业主要求集中摆放。</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6、现场可提供起重行车，行车工承揽方自备（必须持证上岗）。</w:t>
      </w:r>
    </w:p>
    <w:p>
      <w:pPr>
        <w:ind w:left="638" w:leftChars="304"/>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按单价进行报价，含施工人工费、工具费（含倒运车辆、切割金火焰、氧气费）等。</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8、工期：废钢切割、现场清理工期为20天内，工期为重要评标依据，工期时间短优先考虑。开工后工期拖延一天考核10000元。</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9、安全环保：如承揽方在施工过程中发生安全环保事故，按照国家相关法律法规及公司的相关制度执行。</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cs="宋体"/>
          <w:sz w:val="24"/>
          <w:szCs w:val="24"/>
          <w:lang w:val="en-US" w:eastAsia="zh-CN"/>
        </w:rPr>
      </w:pP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ascii="宋体" w:hAnsi="宋体" w:cs="宋体"/>
          <w:sz w:val="24"/>
          <w:szCs w:val="24"/>
          <w:lang w:val="en-US" w:eastAsia="zh-CN"/>
        </w:rPr>
        <w:t>320元/吨</w:t>
      </w:r>
      <w:r>
        <w:rPr>
          <w:rFonts w:hint="default" w:ascii="宋体" w:hAnsi="宋体" w:eastAsia="宋体" w:cs="宋体"/>
          <w:sz w:val="24"/>
          <w:szCs w:val="24"/>
          <w:lang w:val="en-US" w:eastAsia="zh-CN"/>
        </w:rPr>
        <w:t>（大写：</w:t>
      </w:r>
      <w:r>
        <w:rPr>
          <w:rFonts w:hint="eastAsia" w:ascii="宋体" w:hAnsi="宋体" w:cs="宋体"/>
          <w:sz w:val="24"/>
          <w:szCs w:val="24"/>
          <w:lang w:val="en-US" w:eastAsia="zh-CN"/>
        </w:rPr>
        <w:t>叁佰贰拾</w:t>
      </w:r>
      <w:r>
        <w:rPr>
          <w:rFonts w:hint="default" w:ascii="宋体" w:hAnsi="宋体" w:eastAsia="宋体" w:cs="宋体"/>
          <w:sz w:val="24"/>
          <w:szCs w:val="24"/>
          <w:lang w:val="en-US" w:eastAsia="zh-CN"/>
        </w:rPr>
        <w:t>圆整），报价高于此最高投标限价的作废标处理。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eastAsia" w:ascii="宋体" w:hAnsi="宋体" w:eastAsia="宋体" w:cs="宋体"/>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30</w:t>
      </w:r>
      <w:r>
        <w:rPr>
          <w:rFonts w:hint="eastAsia" w:ascii="宋体" w:hAnsi="宋体" w:eastAsia="宋体" w:cs="宋体"/>
          <w:sz w:val="24"/>
          <w:szCs w:val="24"/>
        </w:rPr>
        <w:t>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cs="宋体"/>
          <w:b/>
          <w:bCs/>
          <w:sz w:val="24"/>
          <w:szCs w:val="24"/>
          <w:lang w:val="en-US" w:eastAsia="zh-CN"/>
        </w:rPr>
      </w:pPr>
      <w:r>
        <w:rPr>
          <w:rFonts w:hint="eastAsia" w:cs="宋体"/>
          <w:b/>
          <w:bCs/>
          <w:sz w:val="24"/>
          <w:szCs w:val="24"/>
          <w:lang w:val="en-US" w:eastAsia="zh-CN"/>
        </w:rPr>
        <w:t>附报价表：</w:t>
      </w:r>
    </w:p>
    <w:tbl>
      <w:tblPr>
        <w:tblStyle w:val="9"/>
        <w:tblW w:w="10400" w:type="dxa"/>
        <w:tblInd w:w="93" w:type="dxa"/>
        <w:shd w:val="clear" w:color="auto" w:fill="auto"/>
        <w:tblLayout w:type="autofit"/>
        <w:tblCellMar>
          <w:top w:w="0" w:type="dxa"/>
          <w:left w:w="108" w:type="dxa"/>
          <w:bottom w:w="0" w:type="dxa"/>
          <w:right w:w="108" w:type="dxa"/>
        </w:tblCellMar>
      </w:tblPr>
      <w:tblGrid>
        <w:gridCol w:w="2379"/>
        <w:gridCol w:w="2379"/>
        <w:gridCol w:w="5642"/>
      </w:tblGrid>
      <w:tr>
        <w:tblPrEx>
          <w:shd w:val="clear" w:color="auto" w:fill="auto"/>
          <w:tblCellMar>
            <w:top w:w="0" w:type="dxa"/>
            <w:left w:w="108" w:type="dxa"/>
            <w:bottom w:w="0" w:type="dxa"/>
            <w:right w:w="108" w:type="dxa"/>
          </w:tblCellMar>
        </w:tblPrEx>
        <w:trPr>
          <w:trHeight w:val="710" w:hRule="atLeast"/>
        </w:trPr>
        <w:tc>
          <w:tcPr>
            <w:tcW w:w="1040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i w:val="0"/>
                <w:iCs w:val="0"/>
                <w:color w:val="000000"/>
                <w:kern w:val="0"/>
                <w:sz w:val="56"/>
                <w:szCs w:val="56"/>
                <w:u w:val="none"/>
                <w:lang w:val="en-US" w:eastAsia="zh-CN" w:bidi="ar"/>
              </w:rPr>
              <w:t>报价表</w:t>
            </w:r>
          </w:p>
        </w:tc>
      </w:tr>
      <w:tr>
        <w:tblPrEx>
          <w:shd w:val="clear" w:color="auto" w:fill="auto"/>
          <w:tblCellMar>
            <w:top w:w="0" w:type="dxa"/>
            <w:left w:w="108" w:type="dxa"/>
            <w:bottom w:w="0" w:type="dxa"/>
            <w:right w:w="108" w:type="dxa"/>
          </w:tblCellMar>
        </w:tblPrEx>
        <w:trPr>
          <w:trHeight w:val="802" w:hRule="atLeast"/>
        </w:trPr>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Y . . . . ." w:hAnsi="宋体Y . . . . ." w:eastAsia="宋体Y . . . . ." w:cs="宋体Y . . . . ."/>
                <w:i w:val="0"/>
                <w:iCs w:val="0"/>
                <w:color w:val="000000"/>
                <w:sz w:val="23"/>
                <w:szCs w:val="23"/>
                <w:u w:val="none"/>
              </w:rPr>
            </w:pPr>
            <w:r>
              <w:rPr>
                <w:rFonts w:hint="default" w:ascii="宋体Y . . . . ." w:hAnsi="宋体Y . . . . ." w:eastAsia="宋体Y . . . . ." w:cs="宋体Y . . . . ."/>
                <w:i w:val="0"/>
                <w:iCs w:val="0"/>
                <w:color w:val="000000"/>
                <w:kern w:val="0"/>
                <w:sz w:val="23"/>
                <w:szCs w:val="23"/>
                <w:u w:val="none"/>
                <w:lang w:val="en-US" w:eastAsia="zh-CN" w:bidi="ar"/>
              </w:rPr>
              <w:t>项目</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Y . . . . ." w:hAnsi="宋体Y . . . . ." w:eastAsia="宋体Y . . . . ." w:cs="宋体Y . . . . ."/>
                <w:i w:val="0"/>
                <w:iCs w:val="0"/>
                <w:color w:val="000000"/>
                <w:sz w:val="23"/>
                <w:szCs w:val="23"/>
                <w:u w:val="none"/>
              </w:rPr>
            </w:pPr>
            <w:r>
              <w:rPr>
                <w:rFonts w:hint="default" w:ascii="宋体Y . . . . ." w:hAnsi="宋体Y . . . . ." w:eastAsia="宋体Y . . . . ." w:cs="宋体Y . . . . ."/>
                <w:i w:val="0"/>
                <w:iCs w:val="0"/>
                <w:color w:val="000000"/>
                <w:kern w:val="0"/>
                <w:sz w:val="23"/>
                <w:szCs w:val="23"/>
                <w:u w:val="none"/>
                <w:lang w:val="en-US" w:eastAsia="zh-CN" w:bidi="ar"/>
              </w:rPr>
              <w:t>最高限价（元/吨）</w:t>
            </w:r>
          </w:p>
        </w:tc>
        <w:tc>
          <w:tcPr>
            <w:tcW w:w="5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Y . . . . ." w:hAnsi="宋体Y . . . . ." w:eastAsia="宋体Y . . . . ." w:cs="宋体Y . . . . ."/>
                <w:i w:val="0"/>
                <w:iCs w:val="0"/>
                <w:color w:val="000000"/>
                <w:sz w:val="23"/>
                <w:szCs w:val="23"/>
                <w:u w:val="none"/>
              </w:rPr>
            </w:pPr>
            <w:r>
              <w:rPr>
                <w:rFonts w:hint="default" w:ascii="宋体Y . . . . ." w:hAnsi="宋体Y . . . . ." w:eastAsia="宋体Y . . . . ." w:cs="宋体Y . . . . ."/>
                <w:i w:val="0"/>
                <w:iCs w:val="0"/>
                <w:color w:val="000000"/>
                <w:kern w:val="0"/>
                <w:sz w:val="23"/>
                <w:szCs w:val="23"/>
                <w:u w:val="none"/>
                <w:lang w:val="en-US" w:eastAsia="zh-CN" w:bidi="ar"/>
              </w:rPr>
              <w:t>价格（元/吨）（含运费）</w:t>
            </w:r>
          </w:p>
        </w:tc>
      </w:tr>
      <w:tr>
        <w:tblPrEx>
          <w:shd w:val="clear" w:color="auto" w:fill="auto"/>
          <w:tblCellMar>
            <w:top w:w="0" w:type="dxa"/>
            <w:left w:w="108" w:type="dxa"/>
            <w:bottom w:w="0" w:type="dxa"/>
            <w:right w:w="108" w:type="dxa"/>
          </w:tblCellMar>
        </w:tblPrEx>
        <w:trPr>
          <w:trHeight w:val="802" w:hRule="atLeast"/>
        </w:trPr>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Y . . . . ." w:hAnsi="宋体Y . . . . ." w:eastAsia="宋体Y . . . . ." w:cs="宋体Y . . . . ."/>
                <w:i w:val="0"/>
                <w:iCs w:val="0"/>
                <w:color w:val="000000"/>
                <w:sz w:val="23"/>
                <w:szCs w:val="23"/>
                <w:u w:val="none"/>
              </w:rPr>
            </w:pPr>
            <w:r>
              <w:rPr>
                <w:rFonts w:hint="default" w:ascii="宋体Y . . . . ." w:hAnsi="宋体Y . . . . ." w:eastAsia="宋体Y . . . . ." w:cs="宋体Y . . . . ."/>
                <w:i w:val="0"/>
                <w:iCs w:val="0"/>
                <w:color w:val="000000"/>
                <w:kern w:val="0"/>
                <w:sz w:val="23"/>
                <w:szCs w:val="23"/>
                <w:u w:val="none"/>
                <w:lang w:val="en-US" w:eastAsia="zh-CN" w:bidi="ar"/>
              </w:rPr>
              <w:t>废钢分割</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Y . . . . ." w:hAnsi="宋体Y . . . . ." w:eastAsia="宋体Y . . . . ." w:cs="宋体Y . . . . ."/>
                <w:i w:val="0"/>
                <w:iCs w:val="0"/>
                <w:color w:val="000000"/>
                <w:sz w:val="23"/>
                <w:szCs w:val="23"/>
                <w:u w:val="none"/>
              </w:rPr>
            </w:pPr>
            <w:r>
              <w:rPr>
                <w:rFonts w:hint="default" w:ascii="宋体Y . . . . ." w:hAnsi="宋体Y . . . . ." w:eastAsia="宋体Y . . . . ." w:cs="宋体Y . . . . ."/>
                <w:i w:val="0"/>
                <w:iCs w:val="0"/>
                <w:color w:val="000000"/>
                <w:kern w:val="0"/>
                <w:sz w:val="23"/>
                <w:szCs w:val="23"/>
                <w:u w:val="none"/>
                <w:lang w:val="en-US" w:eastAsia="zh-CN" w:bidi="ar"/>
              </w:rPr>
              <w:t>320</w:t>
            </w:r>
          </w:p>
        </w:tc>
        <w:tc>
          <w:tcPr>
            <w:tcW w:w="5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Y . . . . ." w:hAnsi="宋体Y . . . . ." w:eastAsia="宋体Y . . . . ." w:cs="宋体Y . . . . ."/>
                <w:i w:val="0"/>
                <w:iCs w:val="0"/>
                <w:color w:val="000000"/>
                <w:sz w:val="23"/>
                <w:szCs w:val="23"/>
                <w:u w:val="none"/>
              </w:rPr>
            </w:pPr>
          </w:p>
        </w:tc>
      </w:tr>
      <w:tr>
        <w:tblPrEx>
          <w:shd w:val="clear" w:color="auto" w:fill="auto"/>
          <w:tblCellMar>
            <w:top w:w="0" w:type="dxa"/>
            <w:left w:w="108" w:type="dxa"/>
            <w:bottom w:w="0" w:type="dxa"/>
            <w:right w:w="108" w:type="dxa"/>
          </w:tblCellMar>
        </w:tblPrEx>
        <w:trPr>
          <w:trHeight w:val="811" w:hRule="atLeast"/>
        </w:trPr>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大写：</w:t>
            </w:r>
          </w:p>
        </w:tc>
        <w:tc>
          <w:tcPr>
            <w:tcW w:w="8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11" w:hRule="atLeast"/>
        </w:trPr>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8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1" w:hRule="atLeast"/>
        </w:trPr>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8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1" w:hRule="atLeast"/>
        </w:trPr>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8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11" w:hRule="atLeast"/>
        </w:trPr>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8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2"/>
        <w:rPr>
          <w:rFonts w:hint="eastAsia" w:cs="宋体"/>
          <w:b/>
          <w:bCs/>
          <w:sz w:val="24"/>
          <w:szCs w:val="24"/>
          <w:lang w:val="en-US" w:eastAsia="zh-CN"/>
        </w:rPr>
      </w:pPr>
    </w:p>
    <w:p>
      <w:pPr>
        <w:pStyle w:val="2"/>
        <w:rPr>
          <w:rFonts w:hint="eastAsia" w:cs="宋体"/>
          <w:b/>
          <w:bCs/>
          <w:sz w:val="24"/>
          <w:szCs w:val="24"/>
          <w:lang w:val="en-US" w:eastAsia="zh-CN"/>
        </w:rPr>
      </w:pPr>
    </w:p>
    <w:p>
      <w:pPr>
        <w:pStyle w:val="2"/>
        <w:rPr>
          <w:rFonts w:hint="default"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ind w:left="0" w:leftChars="0" w:firstLine="0" w:firstLineChars="0"/>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9264;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footerReference r:id="rId3" w:type="default"/>
          <w:pgSz w:w="11900" w:h="16840"/>
          <w:pgMar w:top="1580" w:right="940" w:bottom="280" w:left="1360" w:header="720" w:footer="720" w:gutter="0"/>
          <w:cols w:space="720" w:num="1"/>
        </w:sectPr>
      </w:pPr>
    </w:p>
    <w:p>
      <w:pPr>
        <w:pStyle w:val="2"/>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Y . . . . .">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6223459"/>
    <w:rsid w:val="08772F32"/>
    <w:rsid w:val="08830E09"/>
    <w:rsid w:val="08E5761C"/>
    <w:rsid w:val="08E753D4"/>
    <w:rsid w:val="090B706D"/>
    <w:rsid w:val="093D70D3"/>
    <w:rsid w:val="09B22D37"/>
    <w:rsid w:val="0A0371ED"/>
    <w:rsid w:val="0A3C50D1"/>
    <w:rsid w:val="0A664E28"/>
    <w:rsid w:val="0A862F69"/>
    <w:rsid w:val="0AB5637B"/>
    <w:rsid w:val="0B7C138B"/>
    <w:rsid w:val="0C080C41"/>
    <w:rsid w:val="0C313DF6"/>
    <w:rsid w:val="0CC75FEA"/>
    <w:rsid w:val="0D8D3E6B"/>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852DCC"/>
    <w:rsid w:val="16194009"/>
    <w:rsid w:val="16AF0386"/>
    <w:rsid w:val="17A47DC6"/>
    <w:rsid w:val="17D57CB5"/>
    <w:rsid w:val="17F201CC"/>
    <w:rsid w:val="18285AE9"/>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D660B8"/>
    <w:rsid w:val="211B1181"/>
    <w:rsid w:val="22833DD5"/>
    <w:rsid w:val="22B53CBE"/>
    <w:rsid w:val="249E0E19"/>
    <w:rsid w:val="25C530E1"/>
    <w:rsid w:val="26D6793C"/>
    <w:rsid w:val="27317CC6"/>
    <w:rsid w:val="280D1ED2"/>
    <w:rsid w:val="2817243D"/>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305B5D9E"/>
    <w:rsid w:val="30DD5200"/>
    <w:rsid w:val="32372CC9"/>
    <w:rsid w:val="33732D94"/>
    <w:rsid w:val="342771D5"/>
    <w:rsid w:val="34BF11CB"/>
    <w:rsid w:val="35FF4D01"/>
    <w:rsid w:val="36363A60"/>
    <w:rsid w:val="3AF836DB"/>
    <w:rsid w:val="3B95751B"/>
    <w:rsid w:val="3BA87B84"/>
    <w:rsid w:val="3BBC7E07"/>
    <w:rsid w:val="3FD61736"/>
    <w:rsid w:val="3FE12F42"/>
    <w:rsid w:val="403D7860"/>
    <w:rsid w:val="41EF7E88"/>
    <w:rsid w:val="42616A08"/>
    <w:rsid w:val="42FC01EE"/>
    <w:rsid w:val="4306178B"/>
    <w:rsid w:val="434847B1"/>
    <w:rsid w:val="44115275"/>
    <w:rsid w:val="45982D2E"/>
    <w:rsid w:val="45C50135"/>
    <w:rsid w:val="463C43C1"/>
    <w:rsid w:val="465156FA"/>
    <w:rsid w:val="46763632"/>
    <w:rsid w:val="46864C98"/>
    <w:rsid w:val="47A877F1"/>
    <w:rsid w:val="48333AA2"/>
    <w:rsid w:val="484E7674"/>
    <w:rsid w:val="485B666D"/>
    <w:rsid w:val="498450E0"/>
    <w:rsid w:val="4A894820"/>
    <w:rsid w:val="4A9151C3"/>
    <w:rsid w:val="4AE32B65"/>
    <w:rsid w:val="4C0E0DDD"/>
    <w:rsid w:val="4C1075C9"/>
    <w:rsid w:val="4C2819A0"/>
    <w:rsid w:val="4C2B4433"/>
    <w:rsid w:val="4E933866"/>
    <w:rsid w:val="51281503"/>
    <w:rsid w:val="512E21B9"/>
    <w:rsid w:val="528E627F"/>
    <w:rsid w:val="53603D00"/>
    <w:rsid w:val="54015272"/>
    <w:rsid w:val="556F09F4"/>
    <w:rsid w:val="56B45E5E"/>
    <w:rsid w:val="56C25E8F"/>
    <w:rsid w:val="57142BEB"/>
    <w:rsid w:val="57242DF9"/>
    <w:rsid w:val="57F7037F"/>
    <w:rsid w:val="587765FD"/>
    <w:rsid w:val="595D3CE6"/>
    <w:rsid w:val="59CB76E9"/>
    <w:rsid w:val="59F76C1F"/>
    <w:rsid w:val="5A3E0903"/>
    <w:rsid w:val="5A7B6332"/>
    <w:rsid w:val="5D0A43B3"/>
    <w:rsid w:val="5D956282"/>
    <w:rsid w:val="5F1464C5"/>
    <w:rsid w:val="62DB6FA0"/>
    <w:rsid w:val="62E06CCD"/>
    <w:rsid w:val="62EA534E"/>
    <w:rsid w:val="630374E0"/>
    <w:rsid w:val="64A63A0B"/>
    <w:rsid w:val="64F05C4C"/>
    <w:rsid w:val="65130775"/>
    <w:rsid w:val="65327054"/>
    <w:rsid w:val="65631E97"/>
    <w:rsid w:val="65633E99"/>
    <w:rsid w:val="658D42FA"/>
    <w:rsid w:val="66D52E17"/>
    <w:rsid w:val="66EB5CF6"/>
    <w:rsid w:val="672B2DB9"/>
    <w:rsid w:val="673719E9"/>
    <w:rsid w:val="678E2DE0"/>
    <w:rsid w:val="6828533C"/>
    <w:rsid w:val="68DB0209"/>
    <w:rsid w:val="69B4744D"/>
    <w:rsid w:val="69DF509C"/>
    <w:rsid w:val="69EA47F9"/>
    <w:rsid w:val="6A756D57"/>
    <w:rsid w:val="6AA71FE5"/>
    <w:rsid w:val="6B48181B"/>
    <w:rsid w:val="6C61271C"/>
    <w:rsid w:val="6CE31470"/>
    <w:rsid w:val="6DF805AD"/>
    <w:rsid w:val="6F091E0B"/>
    <w:rsid w:val="6F8F7262"/>
    <w:rsid w:val="70284B84"/>
    <w:rsid w:val="703303EB"/>
    <w:rsid w:val="703D15E5"/>
    <w:rsid w:val="7049466C"/>
    <w:rsid w:val="71A464BF"/>
    <w:rsid w:val="71A8122B"/>
    <w:rsid w:val="71F81EDF"/>
    <w:rsid w:val="737E26B8"/>
    <w:rsid w:val="74ED4BCF"/>
    <w:rsid w:val="76EC3DC3"/>
    <w:rsid w:val="772D334F"/>
    <w:rsid w:val="793B5A38"/>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2021-05-07T03:00:16Z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6CCE958BA6F34CDA828CD483BA033887</vt:lpwstr>
  </property>
</Properties>
</file>