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w:t>
      </w:r>
      <w:r>
        <w:rPr>
          <w:rFonts w:hint="eastAsia" w:ascii="宋体" w:hAnsi="宋体"/>
          <w:b/>
          <w:sz w:val="36"/>
          <w:szCs w:val="36"/>
          <w:lang w:val="en-US" w:eastAsia="zh-CN"/>
        </w:rPr>
        <w:t>一次除尘风机润滑改造</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5</w:t>
      </w:r>
      <w:r>
        <w:rPr>
          <w:rFonts w:ascii="宋体" w:hAnsi="宋体"/>
          <w:color w:val="000000"/>
          <w:sz w:val="24"/>
          <w:szCs w:val="24"/>
        </w:rPr>
        <w:t>月</w:t>
      </w:r>
      <w:r>
        <w:rPr>
          <w:rFonts w:hint="eastAsia" w:ascii="宋体" w:hAnsi="宋体"/>
          <w:color w:val="000000"/>
          <w:sz w:val="24"/>
          <w:szCs w:val="24"/>
          <w:lang w:val="en-US" w:eastAsia="zh-CN"/>
        </w:rPr>
        <w:t>17</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2105017YCCCFJRH</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2"/>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宋体" w:hAnsi="宋体" w:eastAsiaTheme="minorEastAsia" w:cstheme="minorBidi"/>
          <w:bCs/>
          <w:color w:val="FF0000"/>
          <w:sz w:val="24"/>
          <w:szCs w:val="24"/>
          <w:lang w:val="en-US" w:eastAsia="zh-CN"/>
        </w:rPr>
        <w:t>一次除尘风机润滑改造</w:t>
      </w:r>
    </w:p>
    <w:p>
      <w:pPr>
        <w:jc w:val="both"/>
        <w:rPr>
          <w:rFonts w:hint="eastAsia" w:ascii="宋体" w:hAnsi="宋体" w:eastAsiaTheme="minorEastAsia" w:cstheme="minorBidi"/>
          <w:bCs/>
          <w:color w:val="FF0000"/>
          <w:sz w:val="24"/>
          <w:szCs w:val="24"/>
          <w:lang w:val="en-US" w:eastAsia="zh-CN"/>
        </w:rPr>
      </w:pP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2"/>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17</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24</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25</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2"/>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eastAsiaTheme="minorEastAsia" w:cstheme="minorBidi"/>
          <w:bCs/>
          <w:color w:val="FF0000"/>
          <w:sz w:val="24"/>
          <w:szCs w:val="24"/>
          <w:lang w:val="en-US" w:eastAsia="zh-CN"/>
        </w:rPr>
        <w:t>一次除尘风机润滑改造</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eastAsiaTheme="minorEastAsia" w:cstheme="minorBidi"/>
          <w:bCs/>
          <w:color w:val="FF0000"/>
          <w:sz w:val="24"/>
          <w:szCs w:val="24"/>
          <w:lang w:val="en-US" w:eastAsia="zh-CN"/>
        </w:rPr>
      </w:pPr>
      <w:r>
        <w:rPr>
          <w:rFonts w:hint="eastAsia" w:ascii="宋体" w:hAnsi="宋体"/>
          <w:sz w:val="24"/>
          <w:szCs w:val="24"/>
        </w:rPr>
        <w:t>项目业务内容：</w:t>
      </w:r>
      <w:r>
        <w:rPr>
          <w:rFonts w:hint="eastAsia" w:ascii="宋体" w:hAnsi="宋体" w:eastAsiaTheme="minorEastAsia" w:cstheme="minorBidi"/>
          <w:bCs/>
          <w:color w:val="FF0000"/>
          <w:sz w:val="24"/>
          <w:szCs w:val="24"/>
          <w:lang w:val="en-US" w:eastAsia="zh-CN"/>
        </w:rPr>
        <w:t>一次除尘风机润滑改造</w:t>
      </w:r>
    </w:p>
    <w:p>
      <w:pPr>
        <w:pStyle w:val="12"/>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王春来    15005536106</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伍仟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5</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24</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eastAsia"/>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3"/>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numPr>
          <w:ilvl w:val="0"/>
          <w:numId w:val="0"/>
        </w:numPr>
        <w:ind w:left="420" w:lef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要求：：</w:t>
      </w:r>
    </w:p>
    <w:p>
      <w:pPr>
        <w:numPr>
          <w:ilvl w:val="0"/>
          <w:numId w:val="0"/>
        </w:numPr>
        <w:ind w:left="420" w:leftChars="0" w:firstLine="480" w:firstLineChars="200"/>
        <w:jc w:val="left"/>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1、</w:t>
      </w:r>
      <w:r>
        <w:rPr>
          <w:rFonts w:hint="eastAsia" w:ascii="宋体" w:hAnsi="宋体" w:eastAsia="宋体" w:cs="宋体"/>
          <w:color w:val="FF0000"/>
          <w:sz w:val="24"/>
          <w:szCs w:val="24"/>
          <w:lang w:val="en-US" w:eastAsia="zh-CN"/>
        </w:rPr>
        <w:t>本次共对五台风机主动、被动端轴承润滑进行改造，提供两套防爆润滑站。系统设计及设备供货、改造施工均由承揽方负责。</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firstLine="960" w:firstLineChars="400"/>
        <w:textAlignment w:val="auto"/>
        <w:rPr>
          <w:rFonts w:hint="default" w:ascii="宋体" w:hAnsi="宋体" w:eastAsia="宋体" w:cs="宋体"/>
          <w:sz w:val="24"/>
          <w:szCs w:val="24"/>
          <w:lang w:val="en-US" w:eastAsia="zh-CN"/>
        </w:rPr>
      </w:pPr>
      <w:r>
        <w:rPr>
          <w:rFonts w:hint="eastAsia" w:cs="宋体"/>
          <w:sz w:val="24"/>
          <w:szCs w:val="24"/>
          <w:lang w:val="en-US" w:eastAsia="zh-CN"/>
        </w:rPr>
        <w:t>2、其他详见技术要求。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49万元（肆拾玖万元）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bookmarkStart w:id="0" w:name="_GoBack"/>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05</w:t>
      </w:r>
      <w:r>
        <w:rPr>
          <w:rFonts w:hint="eastAsia" w:ascii="宋体" w:hAnsi="宋体" w:eastAsia="宋体" w:cs="宋体"/>
          <w:sz w:val="24"/>
          <w:szCs w:val="24"/>
        </w:rPr>
        <w:t>月</w:t>
      </w:r>
      <w:r>
        <w:rPr>
          <w:rFonts w:hint="eastAsia" w:ascii="宋体" w:hAnsi="宋体" w:cs="宋体"/>
          <w:sz w:val="24"/>
          <w:szCs w:val="24"/>
          <w:lang w:val="en-US" w:eastAsia="zh-CN"/>
        </w:rPr>
        <w:t>17日</w:t>
      </w:r>
    </w:p>
    <w:bookmarkEnd w:id="0"/>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numPr>
          <w:ilvl w:val="0"/>
          <w:numId w:val="0"/>
        </w:numPr>
        <w:ind w:left="420" w:leftChars="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附技术要求</w:t>
      </w:r>
      <w:r>
        <w:rPr>
          <w:rFonts w:hint="eastAsia" w:ascii="宋体" w:hAnsi="宋体" w:cs="宋体"/>
          <w:sz w:val="24"/>
          <w:szCs w:val="24"/>
          <w:lang w:val="en-US" w:eastAsia="zh-CN"/>
        </w:rPr>
        <w:t>：</w:t>
      </w:r>
    </w:p>
    <w:p>
      <w:pPr>
        <w:pStyle w:val="2"/>
        <w:rPr>
          <w:rFonts w:hint="default"/>
          <w:lang w:val="en-US" w:eastAsia="zh-CN"/>
        </w:rPr>
      </w:pPr>
    </w:p>
    <w:p>
      <w:pPr>
        <w:numPr>
          <w:ilvl w:val="0"/>
          <w:numId w:val="0"/>
        </w:numPr>
        <w:ind w:left="42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炼钢部转炉一次干法除尘轴流风机（型号G125/125），目前轴承润滑形式为常规自润滑，油位、温度等没有连锁报警装置，润滑效果差，影响风机安全运行，为满足设备运行需要，申请外委专业润滑厂家对该风机润滑系统改造为强制润滑形式，配置也为、压力、流量、封堵检测报警及连锁装置，实现信息化管理，提高风机安全可靠性，详细方案如下：</w:t>
      </w:r>
    </w:p>
    <w:p>
      <w:pPr>
        <w:numPr>
          <w:ilvl w:val="0"/>
          <w:numId w:val="0"/>
        </w:numPr>
        <w:ind w:left="420" w:leftChars="0"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驱动端上盖拆下来后，打孔安装一根喷油管（喷油管末端喷口朝向轴承滚柱）。</w:t>
      </w:r>
    </w:p>
    <w:p>
      <w:pPr>
        <w:numPr>
          <w:ilvl w:val="0"/>
          <w:numId w:val="0"/>
        </w:numPr>
        <w:ind w:left="420" w:leftChars="0" w:firstLine="480" w:firstLineChars="2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现场配置一根DN8（G1/4</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）的高压胶管，一头与驱动端上盖配置的喷油管连接，另外一头与油站供油口硬管连接。</w:t>
      </w:r>
    </w:p>
    <w:p>
      <w:pPr>
        <w:numPr>
          <w:ilvl w:val="0"/>
          <w:numId w:val="0"/>
        </w:numPr>
        <w:ind w:left="420" w:leftChars="0" w:firstLine="480" w:firstLineChars="2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、回油配置一根总管（DN32硬管）两侧轴承箱取靠近油站侧的回油口（G1/2</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），每个轴承取两个回油口（保证回油及时，不会出现端盖漏油的情况）。现场需要配置4根DN15(G1/2</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)的高压胶管，胶管一头与轴承箱回油口连接，另外一头与现场配置的回油总管DN32硬管相连接，回油总管可以考虑做些支架与机壳焊接在一起。</w:t>
      </w:r>
    </w:p>
    <w:p>
      <w:pPr>
        <w:numPr>
          <w:ilvl w:val="0"/>
          <w:numId w:val="0"/>
        </w:numPr>
        <w:ind w:left="420" w:leftChars="0" w:firstLine="480" w:firstLineChars="2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现场需要配置一个XYZ-10G的防爆油站（配置防爆控制柜），油站油箱容积0.15m³，油站配置油泵2台（一用一备），供油管配备压力、流量和温度的监测传感器，油站配备双筒过滤器（过滤精度20μm），油站回油需带有磁性回油过滤器。油站配置的油泵、过滤器、冷却器选用国内知名品牌。</w:t>
      </w:r>
    </w:p>
    <w:p>
      <w:pPr>
        <w:pStyle w:val="2"/>
        <w:rPr>
          <w:rFonts w:hint="eastAsia" w:ascii="宋体" w:hAnsi="宋体" w:eastAsia="宋体" w:cs="宋体"/>
          <w:color w:val="FF0000"/>
          <w:sz w:val="24"/>
          <w:szCs w:val="24"/>
        </w:rPr>
      </w:pPr>
    </w:p>
    <w:p>
      <w:pPr>
        <w:pStyle w:val="2"/>
        <w:rPr>
          <w:rFonts w:hint="eastAsia" w:ascii="宋体" w:hAnsi="宋体" w:eastAsia="宋体" w:cs="宋体"/>
          <w:sz w:val="24"/>
          <w:szCs w:val="24"/>
        </w:rPr>
      </w:pPr>
    </w:p>
    <w:p>
      <w:pPr>
        <w:pStyle w:val="2"/>
        <w:rPr>
          <w:rFonts w:hint="eastAsia" w:cs="宋体"/>
          <w:sz w:val="24"/>
          <w:szCs w:val="24"/>
          <w:lang w:val="en-US" w:eastAsia="zh-CN"/>
        </w:rPr>
      </w:pPr>
      <w:r>
        <w:rPr>
          <w:rFonts w:hint="eastAsia" w:cs="宋体"/>
          <w:sz w:val="24"/>
          <w:szCs w:val="24"/>
          <w:lang w:val="en-US" w:eastAsia="zh-CN"/>
        </w:rPr>
        <w:t>附报价表</w:t>
      </w:r>
    </w:p>
    <w:tbl>
      <w:tblPr>
        <w:tblStyle w:val="9"/>
        <w:tblW w:w="10320" w:type="dxa"/>
        <w:tblInd w:w="93" w:type="dxa"/>
        <w:shd w:val="clear" w:color="auto" w:fill="auto"/>
        <w:tblLayout w:type="autofit"/>
        <w:tblCellMar>
          <w:top w:w="0" w:type="dxa"/>
          <w:left w:w="108" w:type="dxa"/>
          <w:bottom w:w="0" w:type="dxa"/>
          <w:right w:w="108" w:type="dxa"/>
        </w:tblCellMar>
      </w:tblPr>
      <w:tblGrid>
        <w:gridCol w:w="3225"/>
        <w:gridCol w:w="7095"/>
      </w:tblGrid>
      <w:tr>
        <w:tblPrEx>
          <w:tblCellMar>
            <w:top w:w="0" w:type="dxa"/>
            <w:left w:w="108" w:type="dxa"/>
            <w:bottom w:w="0" w:type="dxa"/>
            <w:right w:w="108" w:type="dxa"/>
          </w:tblCellMar>
        </w:tblPrEx>
        <w:trPr>
          <w:trHeight w:val="510" w:hRule="atLeast"/>
        </w:trPr>
        <w:tc>
          <w:tcPr>
            <w:tcW w:w="10320"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报价表</w:t>
            </w: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含税总价（元）（小写）：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含税总价（元）（大写）：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7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7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报价要求：系统设计及设备供货、改造施工均由承揽方负责。</w:t>
            </w:r>
          </w:p>
        </w:tc>
      </w:tr>
    </w:tbl>
    <w:p>
      <w:pPr>
        <w:pStyle w:val="2"/>
        <w:rPr>
          <w:rFonts w:hint="default" w:cs="宋体"/>
          <w:sz w:val="24"/>
          <w:szCs w:val="24"/>
          <w:lang w:val="en-US" w:eastAsia="zh-CN"/>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9264;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3E609B6"/>
    <w:rsid w:val="049F7266"/>
    <w:rsid w:val="05055DEC"/>
    <w:rsid w:val="06223459"/>
    <w:rsid w:val="08772F32"/>
    <w:rsid w:val="08830E09"/>
    <w:rsid w:val="08E5761C"/>
    <w:rsid w:val="08E753D4"/>
    <w:rsid w:val="090B706D"/>
    <w:rsid w:val="093D70D3"/>
    <w:rsid w:val="09B22D37"/>
    <w:rsid w:val="0A0371ED"/>
    <w:rsid w:val="0A3C50D1"/>
    <w:rsid w:val="0A664E28"/>
    <w:rsid w:val="0A862F69"/>
    <w:rsid w:val="0AB5637B"/>
    <w:rsid w:val="0B7C138B"/>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40B7274"/>
    <w:rsid w:val="1410406F"/>
    <w:rsid w:val="14842D4B"/>
    <w:rsid w:val="1485679E"/>
    <w:rsid w:val="14C47DFB"/>
    <w:rsid w:val="153452FD"/>
    <w:rsid w:val="15852DCC"/>
    <w:rsid w:val="16194009"/>
    <w:rsid w:val="164104C8"/>
    <w:rsid w:val="16AF0386"/>
    <w:rsid w:val="171C6697"/>
    <w:rsid w:val="17A47DC6"/>
    <w:rsid w:val="17D57CB5"/>
    <w:rsid w:val="17F201CC"/>
    <w:rsid w:val="18285AE9"/>
    <w:rsid w:val="18CB096F"/>
    <w:rsid w:val="191276F1"/>
    <w:rsid w:val="19A40C16"/>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2FD01EFE"/>
    <w:rsid w:val="305B5D9E"/>
    <w:rsid w:val="30DD5200"/>
    <w:rsid w:val="32372CC9"/>
    <w:rsid w:val="32BF0EBF"/>
    <w:rsid w:val="33732D94"/>
    <w:rsid w:val="342771D5"/>
    <w:rsid w:val="34BF11CB"/>
    <w:rsid w:val="35FF4D01"/>
    <w:rsid w:val="36363A60"/>
    <w:rsid w:val="38DD474A"/>
    <w:rsid w:val="3AF836DB"/>
    <w:rsid w:val="3B95751B"/>
    <w:rsid w:val="3BA87B84"/>
    <w:rsid w:val="3BBC7E07"/>
    <w:rsid w:val="3FD61736"/>
    <w:rsid w:val="3FE12F42"/>
    <w:rsid w:val="403D7860"/>
    <w:rsid w:val="41EF7E88"/>
    <w:rsid w:val="42616A08"/>
    <w:rsid w:val="42FC01EE"/>
    <w:rsid w:val="4306178B"/>
    <w:rsid w:val="434847B1"/>
    <w:rsid w:val="44115275"/>
    <w:rsid w:val="44D90ED7"/>
    <w:rsid w:val="45982D2E"/>
    <w:rsid w:val="45C50135"/>
    <w:rsid w:val="463C43C1"/>
    <w:rsid w:val="465156FA"/>
    <w:rsid w:val="46763632"/>
    <w:rsid w:val="46864C98"/>
    <w:rsid w:val="47A877F1"/>
    <w:rsid w:val="48333AA2"/>
    <w:rsid w:val="484E7674"/>
    <w:rsid w:val="485B666D"/>
    <w:rsid w:val="498450E0"/>
    <w:rsid w:val="4A894820"/>
    <w:rsid w:val="4AE32B65"/>
    <w:rsid w:val="4C0E0DDD"/>
    <w:rsid w:val="4C1075C9"/>
    <w:rsid w:val="4C2819A0"/>
    <w:rsid w:val="4C2B4433"/>
    <w:rsid w:val="4E933866"/>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F76C1F"/>
    <w:rsid w:val="5A3E0903"/>
    <w:rsid w:val="5A7A341B"/>
    <w:rsid w:val="5A7B6332"/>
    <w:rsid w:val="5D0A43B3"/>
    <w:rsid w:val="5D956282"/>
    <w:rsid w:val="5E0A70BC"/>
    <w:rsid w:val="5F1464C5"/>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F805AD"/>
    <w:rsid w:val="6F091E0B"/>
    <w:rsid w:val="6F8F7262"/>
    <w:rsid w:val="70284B84"/>
    <w:rsid w:val="703303EB"/>
    <w:rsid w:val="703D15E5"/>
    <w:rsid w:val="7049466C"/>
    <w:rsid w:val="71A464BF"/>
    <w:rsid w:val="71A8122B"/>
    <w:rsid w:val="71F81EDF"/>
    <w:rsid w:val="737E26B8"/>
    <w:rsid w:val="74ED4BCF"/>
    <w:rsid w:val="76EC3DC3"/>
    <w:rsid w:val="772D334F"/>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3">
    <w:name w:val="p0"/>
    <w:basedOn w:val="1"/>
    <w:qFormat/>
    <w:uiPriority w:val="0"/>
    <w:pPr>
      <w:widowControl/>
    </w:pPr>
    <w:rPr>
      <w:kern w:val="0"/>
      <w:szCs w:val="21"/>
    </w:rPr>
  </w:style>
  <w:style w:type="paragraph" w:customStyle="1" w:styleId="14">
    <w:name w:val="_Style 3"/>
    <w:basedOn w:val="1"/>
    <w:next w:val="12"/>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2021-05-17T06:53:30Z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6CCE958BA6F34CDA828CD483BA033887</vt:lpwstr>
  </property>
</Properties>
</file>