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color w:val="auto"/>
          <w:sz w:val="44"/>
          <w:szCs w:val="44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44"/>
          <w:szCs w:val="44"/>
          <w:u w:val="none" w:color="auto"/>
          <w:lang w:val="en-US" w:eastAsia="zh-CN"/>
        </w:rPr>
        <w:t>关于取消金属矿等海运运输招标和金属矿等江运招标项目的说明</w:t>
      </w:r>
    </w:p>
    <w:p>
      <w:pPr>
        <w:jc w:val="center"/>
        <w:rPr>
          <w:rFonts w:hint="default" w:ascii="宋体" w:hAnsi="宋体" w:cs="宋体"/>
          <w:color w:val="auto"/>
          <w:sz w:val="44"/>
          <w:szCs w:val="44"/>
          <w:u w:val="none" w:color="auto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我公司运输部就《无船承运业务经营资格登记证》的资质是否符合操作水路运输项目的问题咨询了芜湖市港航管理局，港航局给出的结论是：《无船承运业务经营资格登记证》适用于国际海运条例，目前在国内水路运输条例中无该证件的许可。且在货运保险理赔中，可能存在理赔困难的风险。</w:t>
      </w: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考虑到公司的合规经营和风险控制，《无船承运业务经营资格登记证》资质暂时不适用我公司水路运输项目招标，因此取消6月21日原燃料水路运输招标项目。</w:t>
      </w:r>
      <w:bookmarkStart w:id="0" w:name="_GoBack"/>
      <w:bookmarkEnd w:id="0"/>
    </w:p>
    <w:p>
      <w:pPr>
        <w:jc w:val="right"/>
        <w:rPr>
          <w:rFonts w:hint="eastAsia"/>
          <w:sz w:val="28"/>
          <w:szCs w:val="36"/>
          <w:lang w:val="en-US" w:eastAsia="zh-CN"/>
        </w:rPr>
      </w:pPr>
    </w:p>
    <w:p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芜湖新兴铸管招标办</w:t>
      </w:r>
    </w:p>
    <w:p>
      <w:pPr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2019.06.20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A649E"/>
    <w:rsid w:val="687A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2019-06-20T05:56:00Z</dcterms:created>
  <dc:creator>李全清</dc:creator>
  <cp:lastModifiedBy>李全清</cp:lastModifiedBy>
  <dcterms:modified xsi:type="dcterms:W3CDTF">2019-06-20T06:36:19Z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