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exact"/>
        <w:jc w:val="center"/>
        <w:rPr>
          <w:rFonts w:hint="eastAsia" w:ascii="宋体" w:hAnsi="宋体" w:cs="宋体"/>
          <w:color w:val="FF0000"/>
          <w:sz w:val="28"/>
          <w:szCs w:val="28"/>
          <w:u w:val="none" w:color="auto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u w:val="none" w:color="auto"/>
        </w:rPr>
        <w:t>金属矿江运运输报价表</w:t>
      </w:r>
      <w:r>
        <w:rPr>
          <w:rFonts w:hint="eastAsia" w:ascii="宋体" w:hAnsi="宋体" w:cs="宋体"/>
          <w:color w:val="FF0000"/>
          <w:sz w:val="28"/>
          <w:szCs w:val="28"/>
          <w:u w:val="none" w:color="auto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215"/>
        <w:tblW w:w="9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568"/>
        <w:gridCol w:w="1850"/>
        <w:gridCol w:w="1925"/>
        <w:gridCol w:w="22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线路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包干价格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(元/湿吨）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  <w:t>月均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参考运量  （湿吨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费用（元）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备注（单船运量）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南京-芜湖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10000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  <w:t>镇江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-芜湖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20000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 xml:space="preserve">扬州-芜湖  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10000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江阴-芜湖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30000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  <w:t>张家港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-芜湖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20000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太仓-芜湖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30000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  <w:t>上海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-芜湖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10000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总费用（元）：</w:t>
            </w:r>
          </w:p>
        </w:tc>
        <w:tc>
          <w:tcPr>
            <w:tcW w:w="4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大写：</w:t>
            </w:r>
          </w:p>
        </w:tc>
        <w:tc>
          <w:tcPr>
            <w:tcW w:w="4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</w:tr>
    </w:tbl>
    <w:p>
      <w:pPr>
        <w:spacing w:line="520" w:lineRule="exact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color w:val="auto"/>
          <w:sz w:val="24"/>
          <w:u w:val="none" w:color="auto"/>
        </w:rPr>
        <w:t>备注：</w:t>
      </w:r>
      <w:r>
        <w:rPr>
          <w:rFonts w:hint="eastAsia" w:ascii="宋体" w:hAnsi="宋体" w:cs="宋体"/>
          <w:b/>
          <w:bCs/>
          <w:color w:val="auto"/>
          <w:sz w:val="24"/>
          <w:u w:val="none" w:color="auto"/>
        </w:rPr>
        <w:t>请投标单位按照要求填写价格、费用</w:t>
      </w:r>
      <w:r>
        <w:rPr>
          <w:rFonts w:hint="eastAsia" w:ascii="宋体" w:hAnsi="宋体" w:cs="宋体"/>
          <w:b/>
          <w:bCs/>
          <w:color w:val="auto"/>
          <w:sz w:val="24"/>
          <w:u w:val="none" w:color="auto"/>
          <w:lang w:eastAsia="zh-CN"/>
        </w:rPr>
        <w:t>、总</w:t>
      </w:r>
      <w:r>
        <w:rPr>
          <w:rFonts w:hint="eastAsia" w:ascii="宋体" w:hAnsi="宋体" w:cs="宋体"/>
          <w:b/>
          <w:bCs/>
          <w:color w:val="auto"/>
          <w:sz w:val="24"/>
          <w:u w:val="none" w:color="auto"/>
        </w:rPr>
        <w:t>费用并盖章加封</w:t>
      </w:r>
      <w:r>
        <w:rPr>
          <w:rFonts w:hint="eastAsia" w:ascii="宋体" w:hAnsi="宋体" w:cs="宋体"/>
          <w:color w:val="auto"/>
          <w:sz w:val="24"/>
          <w:u w:val="none" w:color="auto"/>
        </w:rPr>
        <w:t>（报价：含</w:t>
      </w:r>
      <w:r>
        <w:rPr>
          <w:rFonts w:hint="eastAsia" w:ascii="宋体" w:hAnsi="宋体" w:cs="宋体"/>
          <w:color w:val="auto"/>
          <w:sz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u w:val="none" w:color="auto"/>
        </w:rPr>
        <w:t>%</w:t>
      </w:r>
      <w:r>
        <w:rPr>
          <w:rFonts w:hint="eastAsia" w:ascii="宋体" w:hAnsi="宋体" w:cs="宋体"/>
          <w:color w:val="auto"/>
          <w:sz w:val="24"/>
          <w:u w:val="none" w:color="auto"/>
          <w:lang w:eastAsia="zh-CN"/>
        </w:rPr>
        <w:t>增值税</w:t>
      </w:r>
      <w:r>
        <w:rPr>
          <w:rFonts w:hint="eastAsia" w:ascii="宋体" w:hAnsi="宋体" w:cs="宋体"/>
          <w:color w:val="auto"/>
          <w:sz w:val="24"/>
          <w:u w:val="none" w:color="auto"/>
        </w:rPr>
        <w:t>含保险等）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color w:val="auto"/>
          <w:sz w:val="24"/>
          <w:u w:val="none" w:color="auto"/>
        </w:rPr>
        <w:t>每月采购地点各不相同，采购量也不固定。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color w:val="auto"/>
          <w:sz w:val="24"/>
          <w:u w:val="none" w:color="auto"/>
          <w:lang w:eastAsia="zh-CN"/>
        </w:rPr>
        <w:t>其他未列港口及单船运量</w:t>
      </w:r>
      <w:r>
        <w:rPr>
          <w:rFonts w:hint="eastAsia" w:ascii="宋体" w:hAnsi="宋体" w:cs="宋体"/>
          <w:color w:val="auto"/>
          <w:sz w:val="24"/>
          <w:u w:val="none" w:color="auto"/>
        </w:rPr>
        <w:t>将依据实际情况另行议价</w:t>
      </w:r>
      <w:r>
        <w:rPr>
          <w:rFonts w:hint="eastAsia" w:ascii="宋体" w:hAnsi="宋体" w:cs="宋体"/>
          <w:color w:val="auto"/>
          <w:sz w:val="24"/>
          <w:u w:val="none" w:color="auto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u w:val="single" w:color="auto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FF0000"/>
          <w:sz w:val="24"/>
          <w:u w:val="single" w:color="auto"/>
          <w:lang w:val="en-US" w:eastAsia="zh-CN"/>
        </w:rPr>
        <w:t>上表需要全部报价，缺少一项，即无效。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cs="宋体"/>
          <w:b/>
          <w:bCs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4.所有线路运输报价均不包含港口建设费，如发生则原票原转。</w:t>
      </w:r>
    </w:p>
    <w:p>
      <w:r>
        <w:rPr>
          <w:rFonts w:hint="eastAsia" w:ascii="宋体" w:hAnsi="宋体" w:cs="宋体"/>
          <w:color w:val="auto"/>
          <w:sz w:val="24"/>
          <w:u w:val="none" w:color="auto"/>
          <w:lang w:val="en-US" w:eastAsia="zh-CN"/>
        </w:rPr>
        <w:t>5.</w:t>
      </w:r>
      <w:r>
        <w:rPr>
          <w:rFonts w:hint="eastAsia" w:ascii="宋体" w:hAnsi="宋体" w:cs="宋体"/>
          <w:color w:val="auto"/>
          <w:sz w:val="24"/>
          <w:u w:val="none" w:color="auto"/>
        </w:rPr>
        <w:t>所有运量均为参考运量，具体运输量根据采购计划安排，故均以实际发生量为准。承运单位必须根据我公司实际运输量安排调配船舶，确保我公司的正常生产。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61089"/>
    <w:rsid w:val="44D342AC"/>
    <w:rsid w:val="5A450074"/>
    <w:rsid w:val="7C2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2019-08-13T02:14:52Z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