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rPr>
          <w:rFonts w:hint="eastAsia" w:ascii="宋体" w:hAnsi="宋体" w:cs="宋体"/>
          <w:sz w:val="28"/>
          <w:szCs w:val="28"/>
        </w:rPr>
      </w:pPr>
    </w:p>
    <w:p>
      <w:pPr>
        <w:spacing w:before="156" w:beforeLines="50" w:line="240" w:lineRule="exact"/>
        <w:jc w:val="center"/>
        <w:rPr>
          <w:rFonts w:hint="eastAsia" w:ascii="宋体" w:hAnsi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 xml:space="preserve">金属矿海运运输报价表 </w:t>
      </w:r>
    </w:p>
    <w:tbl>
      <w:tblPr>
        <w:tblStyle w:val="2"/>
        <w:tblpPr w:leftFromText="180" w:rightFromText="180" w:vertAnchor="text" w:horzAnchor="margin" w:tblpXSpec="center" w:tblpY="215"/>
        <w:tblW w:w="9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1555"/>
        <w:gridCol w:w="636"/>
        <w:gridCol w:w="1409"/>
        <w:gridCol w:w="2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线路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包干价格(元/湿吨）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 xml:space="preserve">月均参考运量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（湿吨/月）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费用（元）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北仑、舟山（不含老塘山）-芜湖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　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80000　　　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马迹山-芜湖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20000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总费用（元）：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大写：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</w:tbl>
    <w:p>
      <w:pPr>
        <w:spacing w:before="156" w:beforeLines="50" w:line="240" w:lineRule="exact"/>
        <w:jc w:val="center"/>
        <w:rPr>
          <w:rFonts w:hint="eastAsia" w:ascii="宋体" w:hAnsi="宋体" w:cs="宋体"/>
          <w:b/>
          <w:bCs/>
          <w:color w:val="FF0000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</w:t>
      </w:r>
      <w:r>
        <w:rPr>
          <w:rFonts w:hint="eastAsia" w:ascii="宋体" w:hAnsi="宋体" w:cs="宋体"/>
          <w:b/>
          <w:bCs/>
          <w:u w:val="single"/>
        </w:rPr>
        <w:t>请投标单位按照要求填写价格、费用、总费用并盖章加封</w:t>
      </w:r>
      <w:r>
        <w:rPr>
          <w:rFonts w:hint="eastAsia" w:ascii="宋体" w:hAnsi="宋体" w:cs="宋体"/>
        </w:rPr>
        <w:t>（报价：含9%增值税含保险等）</w:t>
      </w:r>
    </w:p>
    <w:p>
      <w:pPr>
        <w:numPr>
          <w:ilvl w:val="0"/>
          <w:numId w:val="1"/>
        </w:num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每月采购地点各不相同，采购量也不固定。</w:t>
      </w:r>
    </w:p>
    <w:p>
      <w:pPr>
        <w:numPr>
          <w:ilvl w:val="0"/>
          <w:numId w:val="1"/>
        </w:num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其他未列港口将依据实际情况另行议价。</w:t>
      </w:r>
    </w:p>
    <w:p>
      <w:p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u w:val="single"/>
        </w:rPr>
        <w:t>3.</w:t>
      </w:r>
      <w:r>
        <w:rPr>
          <w:rFonts w:hint="eastAsia" w:ascii="宋体" w:hAnsi="宋体" w:cs="宋体"/>
          <w:b/>
          <w:bCs/>
          <w:color w:val="FF0000"/>
          <w:u w:val="single"/>
        </w:rPr>
        <w:t>上表需要全部报价，缺少一项，即无效。</w:t>
      </w:r>
    </w:p>
    <w:p>
      <w:p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4.所有线路运输报价均不包含港口建设费，如发生则原票原转。</w:t>
      </w:r>
    </w:p>
    <w:p>
      <w:pPr>
        <w:widowControl w:val="0"/>
        <w:spacing w:line="500" w:lineRule="exact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5.所有运量均为参考运量，具体运输量根据采购计划安排，故均以实际发生量为准。承运单位必须根据我公司实际运输量安排调配船舶，确保我公司的正常生产。</w:t>
      </w:r>
    </w:p>
    <w:p>
      <w:pPr>
        <w:widowControl w:val="0"/>
        <w:spacing w:line="500" w:lineRule="exact"/>
        <w:jc w:val="both"/>
        <w:rPr>
          <w:rFonts w:hint="eastAsia" w:ascii="宋体" w:hAnsi="宋体" w:cs="宋体"/>
          <w:lang w:val="en-US" w:eastAsia="zh-CN"/>
        </w:rPr>
      </w:pPr>
    </w:p>
    <w:p>
      <w:pPr>
        <w:widowControl w:val="0"/>
        <w:spacing w:line="500" w:lineRule="exact"/>
        <w:jc w:val="both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报价单位（盖章）：</w:t>
      </w:r>
    </w:p>
    <w:p>
      <w:pPr>
        <w:widowControl w:val="0"/>
        <w:spacing w:line="500" w:lineRule="exact"/>
        <w:jc w:val="both"/>
        <w:rPr>
          <w:rFonts w:hint="default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报价日期：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2019-11-14T01:14:46Z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