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报价表（含税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报价，税率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3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1"/>
        <w:gridCol w:w="1069"/>
        <w:gridCol w:w="235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车型</w:t>
            </w:r>
          </w:p>
        </w:tc>
        <w:tc>
          <w:tcPr>
            <w:tcW w:w="23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结算方式</w:t>
            </w:r>
          </w:p>
        </w:tc>
        <w:tc>
          <w:tcPr>
            <w:tcW w:w="2314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1" w:type="dxa"/>
            <w:vAlign w:val="center"/>
          </w:tcPr>
          <w:p>
            <w:pPr>
              <w:ind w:firstLine="560" w:firstLineChars="20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炼铁部烧结脱硫脱硝生产的浓硫酸倒运至焦化部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，每周作业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1次，运量约60吨。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槽罐车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费用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=作业次数*单价</w:t>
            </w:r>
          </w:p>
        </w:tc>
        <w:tc>
          <w:tcPr>
            <w:tcW w:w="2314" w:type="dxa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元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/次</w:t>
            </w:r>
          </w:p>
        </w:tc>
      </w:tr>
    </w:tbl>
    <w:p>
      <w:pPr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备注：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按月结算，每月初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10号前开发票，收票次月转账付款。</w:t>
      </w:r>
    </w:p>
    <w:p>
      <w:pPr>
        <w:numPr>
          <w:ilvl w:val="0"/>
          <w:numId w:val="1"/>
        </w:num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cs="宋体"/>
          <w:sz w:val="28"/>
          <w:szCs w:val="28"/>
          <w:lang w:val="en-US" w:eastAsia="zh-CN"/>
        </w:rPr>
        <w:t>需提供危险品运输专用槽罐车，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不超载。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报价</w:t>
      </w:r>
      <w:r>
        <w:rPr>
          <w:rFonts w:hint="eastAsia"/>
          <w:sz w:val="28"/>
          <w:szCs w:val="28"/>
          <w:lang w:eastAsia="zh-CN"/>
        </w:rPr>
        <w:t>单位（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报价</w:t>
      </w:r>
      <w:r>
        <w:rPr>
          <w:rFonts w:hint="eastAsia"/>
          <w:sz w:val="28"/>
          <w:szCs w:val="28"/>
          <w:lang w:eastAsia="zh-CN"/>
        </w:rPr>
        <w:t>时间：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358A26"/>
    <w:multiLevelType w:val="singleLevel"/>
    <w:tmpl w:val="CE358A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A64C2"/>
    <w:rsid w:val="214C11E5"/>
    <w:rsid w:val="3CC64E00"/>
    <w:rsid w:val="4CE277C6"/>
    <w:rsid w:val="4DF82EA6"/>
    <w:rsid w:val="657763F9"/>
    <w:rsid w:val="66A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2019-11-19T00:52:37Z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