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36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铸铁产品（管件、铸件）运输项目报价表</w:t>
      </w:r>
    </w:p>
    <w:p>
      <w:pPr>
        <w:widowControl w:val="0"/>
        <w:numPr>
          <w:ilvl w:val="0"/>
          <w:numId w:val="0"/>
        </w:numPr>
        <w:spacing w:line="360" w:lineRule="auto"/>
        <w:jc w:val="left"/>
        <w:rPr>
          <w:rFonts w:hint="eastAsia" w:ascii="宋体" w:hAnsi="宋体" w:cs="宋体"/>
          <w:b/>
          <w:bCs/>
          <w:color w:val="000000" w:themeColor="text1"/>
          <w:sz w:val="24"/>
          <w:szCs w:val="24"/>
          <w:highlight w:val="none"/>
          <w:lang w:val="en-US" w:eastAsia="zh-CN"/>
          <w14:textFill>
            <w14:solidFill>
              <w14:schemeClr w14:val="tx1"/>
            </w14:solidFill>
          </w14:textFill>
        </w:rPr>
      </w:pPr>
    </w:p>
    <w:p>
      <w:pPr>
        <w:widowControl w:val="0"/>
        <w:numPr>
          <w:ilvl w:val="0"/>
          <w:numId w:val="0"/>
        </w:numPr>
        <w:spacing w:line="360" w:lineRule="auto"/>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运输单价（含9%增值税）：</w:t>
      </w:r>
    </w:p>
    <w:tbl>
      <w:tblPr>
        <w:tblStyle w:val="2"/>
        <w:tblW w:w="11163" w:type="dxa"/>
        <w:jc w:val="center"/>
        <w:tblLayout w:type="fixed"/>
        <w:tblCellMar>
          <w:top w:w="0" w:type="dxa"/>
          <w:left w:w="108" w:type="dxa"/>
          <w:bottom w:w="0" w:type="dxa"/>
          <w:right w:w="108" w:type="dxa"/>
        </w:tblCellMar>
      </w:tblPr>
      <w:tblGrid>
        <w:gridCol w:w="1926"/>
        <w:gridCol w:w="1194"/>
        <w:gridCol w:w="1710"/>
        <w:gridCol w:w="1665"/>
        <w:gridCol w:w="1680"/>
        <w:gridCol w:w="1680"/>
        <w:gridCol w:w="1308"/>
      </w:tblGrid>
      <w:tr>
        <w:tblPrEx>
          <w:tblCellMar>
            <w:top w:w="0" w:type="dxa"/>
            <w:left w:w="108" w:type="dxa"/>
            <w:bottom w:w="0" w:type="dxa"/>
            <w:right w:w="108" w:type="dxa"/>
          </w:tblCellMar>
        </w:tblPrEx>
        <w:trPr>
          <w:trHeight w:val="1607" w:hRule="atLeast"/>
          <w:jc w:val="center"/>
        </w:trPr>
        <w:tc>
          <w:tcPr>
            <w:tcW w:w="192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分</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类</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eastAsia="zh-CN"/>
                <w14:textFill>
                  <w14:solidFill>
                    <w14:schemeClr w14:val="tx1"/>
                  </w14:solidFill>
                </w14:textFill>
              </w:rPr>
              <w:t>（公里）</w:t>
            </w:r>
          </w:p>
        </w:tc>
        <w:tc>
          <w:tcPr>
            <w:tcW w:w="1194" w:type="dxa"/>
            <w:tcBorders>
              <w:top w:val="single" w:color="auto" w:sz="4" w:space="0"/>
              <w:left w:val="nil"/>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预估运距</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eastAsia="zh-CN"/>
                <w14:textFill>
                  <w14:solidFill>
                    <w14:schemeClr w14:val="tx1"/>
                  </w14:solidFill>
                </w14:textFill>
              </w:rPr>
              <w:t>（公里）</w:t>
            </w:r>
          </w:p>
        </w:tc>
        <w:tc>
          <w:tcPr>
            <w:tcW w:w="1710" w:type="dxa"/>
            <w:tcBorders>
              <w:top w:val="single" w:color="auto" w:sz="4" w:space="0"/>
              <w:left w:val="nil"/>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零担预估运量（吨）</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p>
        </w:tc>
        <w:tc>
          <w:tcPr>
            <w:tcW w:w="1665" w:type="dxa"/>
            <w:tcBorders>
              <w:top w:val="single" w:color="auto" w:sz="4" w:space="0"/>
              <w:left w:val="nil"/>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零担单价</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元/吨公里</w:t>
            </w:r>
            <w:r>
              <w:rPr>
                <w:rFonts w:hint="eastAsia" w:ascii="宋体" w:hAnsi="宋体" w:cs="宋体"/>
                <w:b/>
                <w:bCs/>
                <w:color w:val="000000" w:themeColor="text1"/>
                <w:sz w:val="24"/>
                <w:szCs w:val="24"/>
                <w:highlight w:val="none"/>
                <w:lang w:eastAsia="zh-CN"/>
                <w14:textFill>
                  <w14:solidFill>
                    <w14:schemeClr w14:val="tx1"/>
                  </w14:solidFill>
                </w14:textFill>
              </w:rPr>
              <w:t>）</w:t>
            </w:r>
          </w:p>
        </w:tc>
        <w:tc>
          <w:tcPr>
            <w:tcW w:w="1680" w:type="dxa"/>
            <w:tcBorders>
              <w:top w:val="single" w:color="auto" w:sz="4" w:space="0"/>
              <w:left w:val="nil"/>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整车预估运量（吨）</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p>
        </w:tc>
        <w:tc>
          <w:tcPr>
            <w:tcW w:w="1680" w:type="dxa"/>
            <w:tcBorders>
              <w:top w:val="single" w:color="auto" w:sz="4" w:space="0"/>
              <w:left w:val="nil"/>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整车单价</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元/吨公里</w:t>
            </w:r>
            <w:r>
              <w:rPr>
                <w:rFonts w:hint="eastAsia" w:ascii="宋体" w:hAnsi="宋体" w:cs="宋体"/>
                <w:b/>
                <w:bCs/>
                <w:color w:val="000000" w:themeColor="text1"/>
                <w:sz w:val="24"/>
                <w:szCs w:val="24"/>
                <w:highlight w:val="none"/>
                <w:lang w:eastAsia="zh-CN"/>
                <w14:textFill>
                  <w14:solidFill>
                    <w14:schemeClr w14:val="tx1"/>
                  </w14:solidFill>
                </w14:textFill>
              </w:rPr>
              <w:t>）</w:t>
            </w:r>
          </w:p>
        </w:tc>
        <w:tc>
          <w:tcPr>
            <w:tcW w:w="1308" w:type="dxa"/>
            <w:tcBorders>
              <w:top w:val="single" w:color="auto" w:sz="4" w:space="0"/>
              <w:left w:val="nil"/>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运费合计（元）</w:t>
            </w:r>
          </w:p>
        </w:tc>
      </w:tr>
      <w:tr>
        <w:tblPrEx>
          <w:tblCellMar>
            <w:top w:w="0" w:type="dxa"/>
            <w:left w:w="108" w:type="dxa"/>
            <w:bottom w:w="0" w:type="dxa"/>
            <w:right w:w="108" w:type="dxa"/>
          </w:tblCellMar>
        </w:tblPrEx>
        <w:trPr>
          <w:trHeight w:val="939" w:hRule="atLeast"/>
          <w:jc w:val="center"/>
        </w:trPr>
        <w:tc>
          <w:tcPr>
            <w:tcW w:w="1926" w:type="dxa"/>
            <w:tcBorders>
              <w:top w:val="nil"/>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运距&lt;200</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p>
        </w:tc>
        <w:tc>
          <w:tcPr>
            <w:tcW w:w="1194" w:type="dxa"/>
            <w:tcBorders>
              <w:top w:val="nil"/>
              <w:left w:val="nil"/>
              <w:bottom w:val="single" w:color="auto" w:sz="4" w:space="0"/>
              <w:right w:val="single" w:color="auto" w:sz="4" w:space="0"/>
            </w:tcBorders>
            <w:vAlign w:val="center"/>
          </w:tcPr>
          <w:p>
            <w:pPr>
              <w:widowControl w:val="0"/>
              <w:numPr>
                <w:ilvl w:val="0"/>
                <w:numId w:val="0"/>
              </w:num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148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52</w:t>
            </w:r>
          </w:p>
        </w:tc>
        <w:tc>
          <w:tcPr>
            <w:tcW w:w="16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themeColor="text1"/>
                <w:sz w:val="24"/>
                <w:szCs w:val="24"/>
                <w:highlight w:val="none"/>
                <w14:textFill>
                  <w14:solidFill>
                    <w14:schemeClr w14:val="tx1"/>
                  </w14:solidFill>
                </w14:textFill>
              </w:rPr>
            </w:pPr>
          </w:p>
        </w:tc>
        <w:tc>
          <w:tcPr>
            <w:tcW w:w="1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color w:val="000000"/>
                <w:kern w:val="0"/>
                <w:sz w:val="22"/>
                <w:szCs w:val="22"/>
                <w:u w:val="none"/>
                <w:lang w:val="en-US" w:eastAsia="zh-CN" w:bidi="ar"/>
              </w:rPr>
              <w:t>1</w:t>
            </w:r>
            <w:r>
              <w:rPr>
                <w:rFonts w:hint="eastAsia" w:ascii="宋体" w:hAnsi="宋体" w:cs="宋体"/>
                <w:b/>
                <w:bCs/>
                <w:i w:val="0"/>
                <w:color w:val="000000"/>
                <w:kern w:val="0"/>
                <w:sz w:val="22"/>
                <w:szCs w:val="22"/>
                <w:u w:val="none"/>
                <w:lang w:val="en-US" w:eastAsia="zh-CN" w:bidi="ar"/>
              </w:rPr>
              <w:t>61</w:t>
            </w:r>
          </w:p>
        </w:tc>
        <w:tc>
          <w:tcPr>
            <w:tcW w:w="1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c>
          <w:tcPr>
            <w:tcW w:w="1308" w:type="dxa"/>
            <w:tcBorders>
              <w:top w:val="nil"/>
              <w:left w:val="nil"/>
              <w:bottom w:val="single" w:color="auto" w:sz="4" w:space="0"/>
              <w:right w:val="single" w:color="auto" w:sz="4" w:space="0"/>
            </w:tcBorders>
            <w:vAlign w:val="bottom"/>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1926" w:type="dxa"/>
            <w:tcBorders>
              <w:top w:val="nil"/>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200≤运距&lt;500</w:t>
            </w:r>
          </w:p>
        </w:tc>
        <w:tc>
          <w:tcPr>
            <w:tcW w:w="1194" w:type="dxa"/>
            <w:tcBorders>
              <w:top w:val="nil"/>
              <w:left w:val="nil"/>
              <w:bottom w:val="single" w:color="auto" w:sz="4" w:space="0"/>
              <w:right w:val="single" w:color="auto" w:sz="4" w:space="0"/>
            </w:tcBorders>
            <w:vAlign w:val="center"/>
          </w:tcPr>
          <w:p>
            <w:pPr>
              <w:widowControl w:val="0"/>
              <w:numPr>
                <w:ilvl w:val="0"/>
                <w:numId w:val="0"/>
              </w:num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403</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365</w:t>
            </w:r>
          </w:p>
        </w:tc>
        <w:tc>
          <w:tcPr>
            <w:tcW w:w="16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themeColor="text1"/>
                <w:sz w:val="24"/>
                <w:szCs w:val="24"/>
                <w:highlight w:val="none"/>
                <w14:textFill>
                  <w14:solidFill>
                    <w14:schemeClr w14:val="tx1"/>
                  </w14:solidFill>
                </w14:textFill>
              </w:rPr>
            </w:pPr>
          </w:p>
        </w:tc>
        <w:tc>
          <w:tcPr>
            <w:tcW w:w="1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769</w:t>
            </w:r>
          </w:p>
        </w:tc>
        <w:tc>
          <w:tcPr>
            <w:tcW w:w="1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c>
          <w:tcPr>
            <w:tcW w:w="1308" w:type="dxa"/>
            <w:tcBorders>
              <w:top w:val="nil"/>
              <w:left w:val="nil"/>
              <w:bottom w:val="single" w:color="auto" w:sz="4" w:space="0"/>
              <w:right w:val="single" w:color="auto" w:sz="4" w:space="0"/>
            </w:tcBorders>
            <w:vAlign w:val="bottom"/>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1926" w:type="dxa"/>
            <w:tcBorders>
              <w:top w:val="nil"/>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500≤运距&lt;1000</w:t>
            </w:r>
          </w:p>
        </w:tc>
        <w:tc>
          <w:tcPr>
            <w:tcW w:w="1194" w:type="dxa"/>
            <w:tcBorders>
              <w:top w:val="nil"/>
              <w:left w:val="nil"/>
              <w:bottom w:val="single" w:color="auto" w:sz="4" w:space="0"/>
              <w:right w:val="single" w:color="auto" w:sz="4" w:space="0"/>
            </w:tcBorders>
            <w:vAlign w:val="center"/>
          </w:tcPr>
          <w:p>
            <w:pPr>
              <w:widowControl w:val="0"/>
              <w:numPr>
                <w:ilvl w:val="0"/>
                <w:numId w:val="0"/>
              </w:num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709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343</w:t>
            </w:r>
          </w:p>
        </w:tc>
        <w:tc>
          <w:tcPr>
            <w:tcW w:w="166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themeColor="text1"/>
                <w:sz w:val="24"/>
                <w:szCs w:val="24"/>
                <w:highlight w:val="none"/>
                <w14:textFill>
                  <w14:solidFill>
                    <w14:schemeClr w14:val="tx1"/>
                  </w14:solidFill>
                </w14:textFill>
              </w:rPr>
            </w:pPr>
          </w:p>
        </w:tc>
        <w:tc>
          <w:tcPr>
            <w:tcW w:w="1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560</w:t>
            </w:r>
          </w:p>
        </w:tc>
        <w:tc>
          <w:tcPr>
            <w:tcW w:w="16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c>
          <w:tcPr>
            <w:tcW w:w="1308" w:type="dxa"/>
            <w:tcBorders>
              <w:top w:val="nil"/>
              <w:left w:val="nil"/>
              <w:bottom w:val="single" w:color="auto" w:sz="4" w:space="0"/>
              <w:right w:val="single" w:color="auto" w:sz="4" w:space="0"/>
            </w:tcBorders>
            <w:vAlign w:val="bottom"/>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789" w:hRule="atLeast"/>
          <w:jc w:val="center"/>
        </w:trPr>
        <w:tc>
          <w:tcPr>
            <w:tcW w:w="1926"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1000≤运距</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1574</w:t>
            </w:r>
          </w:p>
        </w:tc>
        <w:tc>
          <w:tcPr>
            <w:tcW w:w="1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297</w:t>
            </w: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color w:val="000000" w:themeColor="text1"/>
                <w:sz w:val="24"/>
                <w:szCs w:val="24"/>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375</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vAlign w:val="bottom"/>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19" w:hRule="atLeast"/>
          <w:jc w:val="center"/>
        </w:trPr>
        <w:tc>
          <w:tcPr>
            <w:tcW w:w="9855" w:type="dxa"/>
            <w:gridSpan w:val="6"/>
            <w:tcBorders>
              <w:top w:val="single" w:color="auto" w:sz="4" w:space="0"/>
              <w:left w:val="single" w:color="auto" w:sz="4" w:space="0"/>
              <w:bottom w:val="single" w:color="auto" w:sz="4" w:space="0"/>
              <w:right w:val="single" w:color="auto" w:sz="4" w:space="0"/>
            </w:tcBorders>
            <w:vAlign w:val="center"/>
          </w:tcPr>
          <w:p>
            <w:pPr>
              <w:widowControl w:val="0"/>
              <w:numPr>
                <w:ilvl w:val="0"/>
                <w:numId w:val="0"/>
              </w:num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总 运 费</w:t>
            </w:r>
          </w:p>
        </w:tc>
        <w:tc>
          <w:tcPr>
            <w:tcW w:w="1308" w:type="dxa"/>
            <w:tcBorders>
              <w:top w:val="single" w:color="auto" w:sz="4" w:space="0"/>
              <w:left w:val="single" w:color="auto" w:sz="4" w:space="0"/>
              <w:bottom w:val="single" w:color="auto" w:sz="4" w:space="0"/>
              <w:right w:val="single" w:color="auto" w:sz="4" w:space="0"/>
            </w:tcBorders>
            <w:vAlign w:val="bottom"/>
          </w:tcPr>
          <w:p>
            <w:pPr>
              <w:widowControl w:val="0"/>
              <w:numPr>
                <w:ilvl w:val="0"/>
                <w:numId w:val="0"/>
              </w:numPr>
              <w:spacing w:line="360" w:lineRule="auto"/>
              <w:jc w:val="center"/>
              <w:rPr>
                <w:rFonts w:hint="eastAsia" w:ascii="宋体" w:hAnsi="宋体" w:cs="宋体"/>
                <w:b/>
                <w:bCs/>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val="0"/>
        <w:bidi w:val="0"/>
        <w:adjustRightInd/>
        <w:snapToGrid/>
        <w:spacing w:line="360" w:lineRule="auto"/>
        <w:ind w:left="0" w:leftChars="0" w:right="0" w:rightChars="0"/>
        <w:jc w:val="both"/>
        <w:textAlignment w:val="auto"/>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p>
      <w:pPr>
        <w:keepNext w:val="0"/>
        <w:keepLines w:val="0"/>
        <w:pageBreakBefore w:val="0"/>
        <w:widowControl w:val="0"/>
        <w:numPr>
          <w:ilvl w:val="0"/>
          <w:numId w:val="1"/>
        </w:numPr>
        <w:kinsoku/>
        <w:wordWrap/>
        <w:overflowPunct/>
        <w:topLinePunct w:val="0"/>
        <w:autoSpaceDE/>
        <w:bidi w:val="0"/>
        <w:adjustRightInd/>
        <w:snapToGrid/>
        <w:spacing w:line="360" w:lineRule="auto"/>
        <w:ind w:left="0" w:leftChars="0" w:right="0" w:rightChars="0"/>
        <w:jc w:val="both"/>
        <w:textAlignment w:val="auto"/>
        <w:outlineLvl w:val="9"/>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投标承运单位</w:t>
      </w:r>
      <w:r>
        <w:rPr>
          <w:rFonts w:hint="eastAsia" w:ascii="宋体" w:hAnsi="宋体" w:cs="宋体"/>
          <w:color w:val="000000" w:themeColor="text1"/>
          <w:sz w:val="24"/>
          <w:szCs w:val="24"/>
          <w:highlight w:val="none"/>
          <w:lang w:eastAsia="zh-CN"/>
          <w14:textFill>
            <w14:solidFill>
              <w14:schemeClr w14:val="tx1"/>
            </w14:solidFill>
          </w14:textFill>
        </w:rPr>
        <w:t>需</w:t>
      </w:r>
      <w:r>
        <w:rPr>
          <w:rFonts w:hint="eastAsia" w:ascii="宋体" w:hAnsi="宋体" w:cs="宋体"/>
          <w:color w:val="000000" w:themeColor="text1"/>
          <w:sz w:val="24"/>
          <w:szCs w:val="24"/>
          <w:highlight w:val="none"/>
          <w14:textFill>
            <w14:solidFill>
              <w14:schemeClr w14:val="tx1"/>
            </w14:solidFill>
          </w14:textFill>
        </w:rPr>
        <w:t>具备24小时运输服务能力</w:t>
      </w:r>
    </w:p>
    <w:p>
      <w:pPr>
        <w:keepNext w:val="0"/>
        <w:keepLines w:val="0"/>
        <w:pageBreakBefore w:val="0"/>
        <w:widowControl w:val="0"/>
        <w:numPr>
          <w:ilvl w:val="0"/>
          <w:numId w:val="1"/>
        </w:numPr>
        <w:kinsoku/>
        <w:wordWrap/>
        <w:overflowPunct/>
        <w:topLinePunct w:val="0"/>
        <w:autoSpaceDE/>
        <w:bidi w:val="0"/>
        <w:adjustRightInd/>
        <w:snapToGrid/>
        <w:spacing w:line="360" w:lineRule="auto"/>
        <w:ind w:left="0" w:leftChars="0" w:right="0" w:rightChars="0" w:firstLine="0" w:firstLineChars="0"/>
        <w:jc w:val="both"/>
        <w:textAlignment w:val="auto"/>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发运费用结算：当月运输，次月结算，乙方应于15日前出具有效增值税专用发票。甲方应于收到发票后90天内付清上月运费款(电汇付款)。乙方须按规定时间提供完整的收货方签收回单凭证。运输里程依据芜湖新材料产业园执行的《运距表》；若新增添到货地点，根据电子导航加绕城运距确认。</w:t>
      </w:r>
    </w:p>
    <w:p>
      <w:pPr>
        <w:keepNext w:val="0"/>
        <w:keepLines w:val="0"/>
        <w:pageBreakBefore w:val="0"/>
        <w:widowControl w:val="0"/>
        <w:kinsoku/>
        <w:wordWrap/>
        <w:overflowPunct/>
        <w:topLinePunct w:val="0"/>
        <w:autoSpaceDE/>
        <w:bidi w:val="0"/>
        <w:adjustRightInd/>
        <w:snapToGrid/>
        <w:spacing w:line="360" w:lineRule="auto"/>
        <w:ind w:left="0" w:leftChars="0" w:right="0" w:rightChars="0"/>
        <w:jc w:val="both"/>
        <w:textAlignment w:val="auto"/>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整车</w:t>
      </w:r>
      <w:r>
        <w:rPr>
          <w:rFonts w:hint="eastAsia" w:ascii="宋体" w:hAnsi="宋体" w:cs="宋体"/>
          <w:color w:val="000000" w:themeColor="text1"/>
          <w:sz w:val="24"/>
          <w:szCs w:val="24"/>
          <w:highlight w:val="none"/>
          <w:lang w:eastAsia="zh-CN"/>
          <w14:textFill>
            <w14:solidFill>
              <w14:schemeClr w14:val="tx1"/>
            </w14:solidFill>
          </w14:textFill>
        </w:rPr>
        <w:t>标准</w:t>
      </w:r>
      <w:r>
        <w:rPr>
          <w:rFonts w:hint="eastAsia" w:ascii="宋体" w:hAnsi="宋体" w:cs="宋体"/>
          <w:color w:val="000000" w:themeColor="text1"/>
          <w:sz w:val="24"/>
          <w:szCs w:val="24"/>
          <w:highlight w:val="none"/>
          <w14:textFill>
            <w14:solidFill>
              <w14:schemeClr w14:val="tx1"/>
            </w14:solidFill>
          </w14:textFill>
        </w:rPr>
        <w:t>：</w:t>
      </w:r>
    </w:p>
    <w:tbl>
      <w:tblPr>
        <w:tblStyle w:val="2"/>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6"/>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6"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车</w:t>
            </w:r>
            <w:r>
              <w:rPr>
                <w:rFonts w:hint="eastAsia" w:ascii="宋体" w:hAnsi="宋体" w:cs="宋体"/>
                <w:color w:val="000000" w:themeColor="text1"/>
                <w:kern w:val="0"/>
                <w:sz w:val="24"/>
                <w:szCs w:val="24"/>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型</w:t>
            </w:r>
          </w:p>
        </w:tc>
        <w:tc>
          <w:tcPr>
            <w:tcW w:w="4748"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整车</w:t>
            </w:r>
            <w:r>
              <w:rPr>
                <w:rFonts w:hint="eastAsia" w:ascii="宋体" w:hAnsi="宋体" w:cs="宋体"/>
                <w:color w:val="000000" w:themeColor="text1"/>
                <w:kern w:val="0"/>
                <w:sz w:val="24"/>
                <w:szCs w:val="24"/>
                <w:highlight w:val="none"/>
                <w:vertAlign w:val="baseline"/>
                <w:lang w:val="en-US" w:eastAsia="zh-CN"/>
                <w14:textFill>
                  <w14:solidFill>
                    <w14:schemeClr w14:val="tx1"/>
                  </w14:solidFill>
                </w14:textFill>
              </w:rPr>
              <w:t>基本</w:t>
            </w: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6"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6.8米车型</w:t>
            </w:r>
          </w:p>
        </w:tc>
        <w:tc>
          <w:tcPr>
            <w:tcW w:w="4748"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6.5吨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6"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9.6米车型（3轴）</w:t>
            </w:r>
          </w:p>
        </w:tc>
        <w:tc>
          <w:tcPr>
            <w:tcW w:w="4748"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6"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9.6米车型（4轴）</w:t>
            </w:r>
          </w:p>
        </w:tc>
        <w:tc>
          <w:tcPr>
            <w:tcW w:w="4748"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6"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13米车型</w:t>
            </w:r>
          </w:p>
        </w:tc>
        <w:tc>
          <w:tcPr>
            <w:tcW w:w="4748"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22吨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6"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17.5米车型</w:t>
            </w:r>
          </w:p>
        </w:tc>
        <w:tc>
          <w:tcPr>
            <w:tcW w:w="4748" w:type="dxa"/>
            <w:vAlign w:val="center"/>
          </w:tcPr>
          <w:p>
            <w:pPr>
              <w:widowControl w:val="0"/>
              <w:numPr>
                <w:ilvl w:val="0"/>
                <w:numId w:val="0"/>
              </w:numPr>
              <w:spacing w:line="360" w:lineRule="auto"/>
              <w:jc w:val="cente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25吨</w:t>
            </w:r>
          </w:p>
        </w:tc>
      </w:tr>
    </w:tbl>
    <w:p>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4、发运时间规定及发运车辆界定：（均以车辆装完货后从芜湖新兴新材料产业园有限公司出发时间开始计算）：</w:t>
      </w:r>
    </w:p>
    <w:p>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（1）专车、整车发运：1000公里以内（含1000公里）须 2 天内发到；1000公里至1500公里须 3 天之内发到；1500公里至2000公里之间须 4 天之内发到；2000公里至3000公里须 5 天之内发到；3000公里至4000公里以内须 7 天到达。</w:t>
      </w:r>
    </w:p>
    <w:p>
      <w:pPr>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（2）零担发运：零担发运周期的要求：200公里内 3 日到达、500公里内 4 日到达、1000公里内 5 日到达、1500公里内 6 日到达。</w:t>
      </w:r>
    </w:p>
    <w:p>
      <w:pPr>
        <w:spacing w:line="360" w:lineRule="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（3）具体车辆安排由双方根据需发运货物规格及发运量进行确认.</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5、回单要求：</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中标方返回客户签收回单原件交招标方的时间期限要求：从工厂发出时间开始计算，整车发运 20天、零担发运 40 天、偏远地区（云南、贵州、海南等） 50 天返回回单。如遇特殊情况应提前书面说明。否则每延迟一天每份回单扣罚运费20元。回单须确保真实，回单上管件数量或规格出现错误的应及时反馈给甲方，发现作假扣罚1000元/次。回单至少要有一份原件，否则甲方拒收，因此所造成的损失由中标方承担。</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6、投标承运单位需接受我公司铸铁产品（管件、铸件）发运的特点：</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（1）发运方向多，整车、零担承运量发生不均匀和货物规格大小不一。投标单位须具备对整车、零担承运量的集中和大小的变化以及到达地的先后顺序，做到物流配送有序。</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我公司铸铁产品（管件、铸件）发运可能以定单组织生产，对发运路线及组织装车运输的方案要求严格，因铸铁产品（管件、铸件）属易损件，加上供货时间的要求，在运输中必须确保货物的安全和质量。承运单位必须派专人负责客服工作，追踪并回馈货物在途情况信息，需建立零担运输跟踪表，每两天向甲方反馈一次零担运输的实时进度情况，内容要求真实。催交签收回单，必须提供货物实时运送状态，回单要在合同规定期内送达（若因故不能及时送达，可先拍照通过网络传递方式至管件部，后期再将纸质回单送还。）能满足贸易公司业务员手机APP查询需求。</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7、</w:t>
      </w:r>
      <w:r>
        <w:rPr>
          <w:rFonts w:hint="default" w:ascii="宋体" w:hAnsi="宋体" w:cs="宋体"/>
          <w:color w:val="000000" w:themeColor="text1"/>
          <w:sz w:val="24"/>
          <w:szCs w:val="24"/>
          <w:highlight w:val="none"/>
          <w:lang w:val="en-US" w:eastAsia="zh-CN"/>
          <w14:textFill>
            <w14:solidFill>
              <w14:schemeClr w14:val="tx1"/>
            </w14:solidFill>
          </w14:textFill>
        </w:rPr>
        <w:t>合</w:t>
      </w:r>
      <w:r>
        <w:rPr>
          <w:rFonts w:hint="eastAsia" w:ascii="宋体" w:hAnsi="宋体" w:cs="宋体"/>
          <w:color w:val="000000" w:themeColor="text1"/>
          <w:sz w:val="24"/>
          <w:szCs w:val="24"/>
          <w:highlight w:val="none"/>
          <w:lang w:val="en-US" w:eastAsia="zh-CN"/>
          <w14:textFill>
            <w14:solidFill>
              <w14:schemeClr w14:val="tx1"/>
            </w14:solidFill>
          </w14:textFill>
        </w:rPr>
        <w:t>同有效期自</w:t>
      </w:r>
      <w:r>
        <w:rPr>
          <w:rFonts w:hint="default"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default" w:ascii="宋体" w:hAnsi="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default" w:ascii="宋体" w:hAnsi="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default" w:ascii="宋体" w:hAnsi="宋体" w:cs="宋体"/>
          <w:color w:val="000000" w:themeColor="text1"/>
          <w:sz w:val="24"/>
          <w:szCs w:val="24"/>
          <w:highlight w:val="none"/>
          <w:lang w:val="en-US" w:eastAsia="zh-CN"/>
          <w14:textFill>
            <w14:solidFill>
              <w14:schemeClr w14:val="tx1"/>
            </w14:solidFill>
          </w14:textFill>
        </w:rPr>
        <w:t>日起至20</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default" w:ascii="宋体" w:hAnsi="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default" w:ascii="宋体" w:hAnsi="宋体" w:cs="宋体"/>
          <w:color w:val="000000" w:themeColor="text1"/>
          <w:sz w:val="24"/>
          <w:szCs w:val="24"/>
          <w:highlight w:val="none"/>
          <w:lang w:val="en-US"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28</w:t>
      </w:r>
      <w:r>
        <w:rPr>
          <w:rFonts w:hint="default" w:ascii="宋体" w:hAnsi="宋体" w:cs="宋体"/>
          <w:color w:val="000000" w:themeColor="text1"/>
          <w:sz w:val="24"/>
          <w:szCs w:val="24"/>
          <w:highlight w:val="none"/>
          <w:lang w:val="en-US" w:eastAsia="zh-CN"/>
          <w14:textFill>
            <w14:solidFill>
              <w14:schemeClr w14:val="tx1"/>
            </w14:solidFill>
          </w14:textFill>
        </w:rPr>
        <w:t>日止。</w:t>
      </w:r>
      <w:r>
        <w:rPr>
          <w:rFonts w:hint="eastAsia" w:ascii="宋体" w:hAnsi="宋体"/>
          <w:b w:val="0"/>
          <w:bCs w:val="0"/>
          <w:sz w:val="24"/>
          <w:szCs w:val="24"/>
          <w:lang w:val="en-US" w:eastAsia="zh-CN"/>
        </w:rPr>
        <w:t>投标报价按照“附表”要求填写，综合得分最高为中标原则。</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8、中标后弃标者，其所缴纳的</w:t>
      </w:r>
      <w:bookmarkStart w:id="0" w:name="_GoBack"/>
      <w:bookmarkEnd w:id="0"/>
      <w:r>
        <w:rPr>
          <w:rFonts w:hint="eastAsia" w:ascii="宋体" w:hAnsi="宋体"/>
          <w:b w:val="0"/>
          <w:bCs w:val="0"/>
          <w:sz w:val="24"/>
          <w:szCs w:val="24"/>
          <w:lang w:val="en-US" w:eastAsia="zh-CN"/>
        </w:rPr>
        <w:t>投标保证金将不予退还。</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2880" w:firstLineChars="1200"/>
        <w:textAlignment w:val="auto"/>
        <w:outlineLvl w:val="9"/>
        <w:rPr>
          <w:rFonts w:hint="eastAsia" w:ascii="宋体" w:hAnsi="宋体" w:eastAsia="宋体"/>
          <w:b/>
          <w:bCs/>
          <w:sz w:val="24"/>
          <w:szCs w:val="24"/>
          <w:lang w:eastAsia="zh-CN"/>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lang w:val="en-US" w:eastAsia="zh-CN"/>
          <w14:textFill>
            <w14:solidFill>
              <w14:schemeClr w14:val="tx1"/>
            </w14:solidFill>
          </w14:textFill>
        </w:rPr>
        <w:t xml:space="preserve"> 请</w:t>
      </w:r>
      <w:r>
        <w:rPr>
          <w:rFonts w:hint="eastAsia" w:ascii="宋体" w:hAnsi="宋体"/>
          <w:b/>
          <w:bCs/>
          <w:sz w:val="24"/>
          <w:szCs w:val="24"/>
        </w:rPr>
        <w:t>慎重报价</w:t>
      </w:r>
      <w:r>
        <w:rPr>
          <w:rFonts w:hint="eastAsia" w:ascii="宋体" w:hAnsi="宋体"/>
          <w:b/>
          <w:bCs/>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right="0" w:rightChars="0" w:firstLine="482" w:firstLineChars="200"/>
        <w:jc w:val="center"/>
        <w:textAlignment w:val="auto"/>
        <w:outlineLvl w:val="9"/>
        <w:rPr>
          <w:rFonts w:hint="eastAsia" w:eastAsiaTheme="minorEastAsia"/>
          <w:b/>
          <w:bCs/>
          <w:sz w:val="24"/>
          <w:szCs w:val="24"/>
          <w:lang w:val="en-US" w:eastAsia="zh-CN"/>
        </w:rPr>
      </w:pPr>
      <w:r>
        <w:rPr>
          <w:rFonts w:hint="eastAsia"/>
          <w:b/>
          <w:bCs/>
          <w:sz w:val="24"/>
          <w:szCs w:val="24"/>
          <w:lang w:val="en-US" w:eastAsia="zh-CN"/>
        </w:rPr>
        <w:t xml:space="preserve"> 委托代理人）：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center"/>
        <w:textAlignment w:val="auto"/>
        <w:outlineLvl w:val="9"/>
        <w:rPr>
          <w:rFonts w:hint="eastAsia"/>
          <w:b/>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096" w:firstLineChars="1700"/>
        <w:jc w:val="both"/>
        <w:textAlignment w:val="auto"/>
        <w:outlineLvl w:val="9"/>
        <w:rPr>
          <w:rFonts w:hint="eastAsia"/>
          <w:b/>
          <w:bCs/>
          <w:sz w:val="24"/>
          <w:szCs w:val="24"/>
          <w:lang w:eastAsia="zh-CN"/>
        </w:rPr>
      </w:pPr>
      <w:r>
        <w:rPr>
          <w:rFonts w:hint="eastAsia"/>
          <w:b/>
          <w:bCs/>
          <w:sz w:val="24"/>
          <w:szCs w:val="24"/>
          <w:lang w:val="en-US" w:eastAsia="zh-CN"/>
        </w:rPr>
        <w:t xml:space="preserve"> </w:t>
      </w:r>
      <w:r>
        <w:rPr>
          <w:rFonts w:hint="eastAsia"/>
          <w:b/>
          <w:bCs/>
          <w:sz w:val="24"/>
          <w:szCs w:val="24"/>
        </w:rPr>
        <w:t>投标单位</w:t>
      </w:r>
      <w:r>
        <w:rPr>
          <w:rFonts w:hint="eastAsia"/>
          <w:b/>
          <w:bCs/>
          <w:sz w:val="24"/>
          <w:szCs w:val="24"/>
          <w:lang w:eastAsia="zh-CN"/>
        </w:rPr>
        <w:t>（</w:t>
      </w:r>
      <w:r>
        <w:rPr>
          <w:rFonts w:hint="eastAsia"/>
          <w:b/>
          <w:bCs/>
          <w:sz w:val="24"/>
          <w:szCs w:val="24"/>
        </w:rPr>
        <w:t>盖章</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337" w:firstLineChars="1800"/>
        <w:jc w:val="both"/>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060" w:firstLineChars="2100"/>
        <w:jc w:val="both"/>
        <w:textAlignment w:val="auto"/>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b/>
          <w:bCs/>
          <w:sz w:val="24"/>
          <w:szCs w:val="24"/>
          <w:lang w:val="en-US" w:eastAsia="zh-CN"/>
        </w:rPr>
        <w:t>报价日期：</w:t>
      </w:r>
    </w:p>
    <w:sectPr>
      <w:pgSz w:w="11906" w:h="16838"/>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A2B1F"/>
    <w:rsid w:val="0E405783"/>
    <w:rsid w:val="10146A5D"/>
    <w:rsid w:val="13976457"/>
    <w:rsid w:val="1B7E64C1"/>
    <w:rsid w:val="21E124B3"/>
    <w:rsid w:val="2B0536D8"/>
    <w:rsid w:val="2DA3733B"/>
    <w:rsid w:val="34B8000E"/>
    <w:rsid w:val="3D88718E"/>
    <w:rsid w:val="45A27FB1"/>
    <w:rsid w:val="4688602A"/>
    <w:rsid w:val="4F8B7740"/>
    <w:rsid w:val="5DB84247"/>
    <w:rsid w:val="5E5D41BD"/>
    <w:rsid w:val="63E22A89"/>
    <w:rsid w:val="69C74747"/>
    <w:rsid w:val="6CC54220"/>
    <w:rsid w:val="74CC3E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2017-03-17T04:15:00Z</dcterms:created>
  <dc:creator>Administrator</dc:creator>
  <cp:lastModifiedBy>今天，明天</cp:lastModifiedBy>
  <cp:lastPrinted>2017-06-20T05:38:00Z</cp:lastPrinted>
  <dcterms:modified xsi:type="dcterms:W3CDTF">2020-02-24T07:44:57Z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