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0"/>
          <w:lang w:eastAsia="zh-CN"/>
        </w:rPr>
      </w:pPr>
      <w:r>
        <w:rPr>
          <w:rFonts w:hint="eastAsia"/>
          <w:sz w:val="28"/>
          <w:szCs w:val="24"/>
          <w:lang w:eastAsia="zh-CN"/>
        </w:rPr>
        <w:t>报价表</w:t>
      </w:r>
      <w:r>
        <w:rPr>
          <w:rFonts w:hint="eastAsia"/>
          <w:sz w:val="21"/>
          <w:szCs w:val="20"/>
          <w:lang w:eastAsia="zh-CN"/>
        </w:rPr>
        <w:t>（不含税，税率</w:t>
      </w:r>
      <w:r>
        <w:rPr>
          <w:rFonts w:hint="eastAsia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/>
          <w:sz w:val="21"/>
          <w:szCs w:val="20"/>
          <w:lang w:eastAsia="zh-CN"/>
        </w:rPr>
        <w:t>）</w:t>
      </w:r>
    </w:p>
    <w:tbl>
      <w:tblPr>
        <w:tblStyle w:val="4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49"/>
        <w:gridCol w:w="2293"/>
        <w:gridCol w:w="4602"/>
        <w:gridCol w:w="176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作业内容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结算方式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/吨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7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9" w:type="dxa"/>
            <w:vMerge w:val="restart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钢渣及其磁选产品（精粉、粒子钢、片钢）及尾渣装车倒运、场地清理；转炉炉坑钢渣清理、渣场钢渣及辅料装车、中包垃圾清理及零星工作。</w:t>
            </w:r>
          </w:p>
        </w:tc>
        <w:tc>
          <w:tcPr>
            <w:tcW w:w="2293" w:type="dxa"/>
            <w:vMerge w:val="restart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FF66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台自卸车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24小时作业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台50型装载机（棒磨车间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台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24小时作业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炼钢车间2台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车轮需要装防滑链，1台24小时作业，1台每天12小时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费用=当月钢产量*单价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钢产量月均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val="en-US" w:eastAsia="zh-CN"/>
              </w:rPr>
              <w:t>万吨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6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费用=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当月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倒运量*单价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产品倒运量月均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万吨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72" w:type="dxa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49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对炼钢部棒磨渣山风化硬块进行破碎、装车、车间喂料及零星工作。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215型挖掘机1台（24小时作业）</w:t>
            </w:r>
          </w:p>
        </w:tc>
        <w:tc>
          <w:tcPr>
            <w:tcW w:w="46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费用=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当月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倒运量*单价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产品倒运量月均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万吨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kern w:val="2"/>
          <w:sz w:val="21"/>
          <w:szCs w:val="20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1118"/>
        </w:tabs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钢产量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产品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（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lang w:eastAsia="zh-CN"/>
        </w:rPr>
        <w:t>尾渣、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精粉、片钢）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倒运量依据芜湖新兴铸管有限责任公司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生产日报、计量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报表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数据。</w:t>
      </w:r>
    </w:p>
    <w:p>
      <w:pPr>
        <w:numPr>
          <w:ilvl w:val="0"/>
          <w:numId w:val="1"/>
        </w:numPr>
        <w:tabs>
          <w:tab w:val="left" w:pos="1118"/>
        </w:tabs>
        <w:spacing w:line="360" w:lineRule="auto"/>
        <w:ind w:firstLine="480" w:firstLineChars="200"/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付款方式：次月付款（承兑汇票）。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报价单位（盖章）：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报价日期：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E503D"/>
    <w:multiLevelType w:val="singleLevel"/>
    <w:tmpl w:val="A0DE50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2020-03-04T01:45:58Z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