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FFFF00"/>
          <w:sz w:val="36"/>
          <w:szCs w:val="36"/>
          <w:u w:val="none"/>
          <w:lang w:val="en-US" w:eastAsia="zh-CN"/>
        </w:rPr>
      </w:pPr>
      <w:r>
        <w:rPr>
          <w:rFonts w:hint="eastAsia" w:ascii="宋体" w:hAnsi="宋体"/>
          <w:b/>
          <w:sz w:val="36"/>
          <w:szCs w:val="36"/>
        </w:rPr>
        <w:t>芜湖新兴铸管</w:t>
      </w:r>
      <w:r>
        <w:rPr>
          <w:rFonts w:hint="eastAsia" w:ascii="宋体" w:hAnsi="宋体"/>
          <w:b/>
          <w:sz w:val="36"/>
          <w:szCs w:val="36"/>
          <w:lang w:val="en-US" w:eastAsia="zh-CN"/>
        </w:rPr>
        <w:t>临时用吊车项目</w:t>
      </w:r>
    </w:p>
    <w:p>
      <w:pPr>
        <w:jc w:val="center"/>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color w:val="000000"/>
        </w:rPr>
      </w:pPr>
      <w:r>
        <w:rPr>
          <w:rFonts w:hint="eastAsia" w:ascii="宋体" w:hAnsi="宋体"/>
        </w:rPr>
        <w:t>日</w:t>
      </w:r>
      <w:r>
        <w:rPr>
          <w:rFonts w:ascii="宋体" w:hAnsi="宋体"/>
        </w:rPr>
        <w:t xml:space="preserve">  期：</w:t>
      </w:r>
      <w:r>
        <w:rPr>
          <w:rFonts w:hint="eastAsia" w:ascii="宋体" w:hAnsi="宋体"/>
          <w:u w:val="none"/>
          <w:lang w:val="en-US" w:eastAsia="zh-CN"/>
        </w:rPr>
        <w:t>2020</w:t>
      </w:r>
      <w:r>
        <w:rPr>
          <w:rFonts w:ascii="宋体" w:hAnsi="宋体"/>
        </w:rPr>
        <w:t>年</w:t>
      </w:r>
      <w:r>
        <w:rPr>
          <w:rFonts w:hint="eastAsia" w:ascii="宋体" w:hAnsi="宋体"/>
          <w:lang w:val="en-US" w:eastAsia="zh-CN"/>
        </w:rPr>
        <w:t>05</w:t>
      </w:r>
      <w:r>
        <w:rPr>
          <w:rFonts w:ascii="宋体" w:hAnsi="宋体"/>
          <w:color w:val="000000"/>
        </w:rPr>
        <w:t>月</w:t>
      </w:r>
      <w:r>
        <w:rPr>
          <w:rFonts w:hint="eastAsia" w:ascii="宋体" w:hAnsi="宋体"/>
          <w:color w:val="000000"/>
          <w:lang w:val="en-US" w:eastAsia="zh-CN"/>
        </w:rPr>
        <w:t>7</w:t>
      </w:r>
      <w:r>
        <w:rPr>
          <w:rFonts w:ascii="宋体" w:hAnsi="宋体"/>
          <w:color w:val="000000"/>
        </w:rPr>
        <w:t>日</w:t>
      </w:r>
    </w:p>
    <w:p>
      <w:pPr>
        <w:spacing w:line="300" w:lineRule="auto"/>
        <w:jc w:val="center"/>
        <w:rPr>
          <w:rFonts w:hint="default" w:ascii="宋体" w:hAnsi="宋体" w:eastAsia="宋体"/>
          <w:color w:val="000000"/>
          <w:u w:val="single"/>
          <w:lang w:val="en-US" w:eastAsia="zh-CN"/>
        </w:rPr>
      </w:pPr>
      <w:r>
        <w:rPr>
          <w:rFonts w:hint="eastAsia" w:ascii="宋体" w:hAnsi="宋体"/>
          <w:color w:val="000000"/>
        </w:rPr>
        <w:t>招标号：</w:t>
      </w:r>
      <w:r>
        <w:rPr>
          <w:rFonts w:hint="eastAsia" w:ascii="宋体" w:hAnsi="宋体"/>
          <w:color w:val="000000"/>
          <w:lang w:val="en-US" w:eastAsia="zh-CN"/>
        </w:rPr>
        <w:t>YSQC20200</w:t>
      </w:r>
      <w:bookmarkStart w:id="0" w:name="_GoBack"/>
      <w:bookmarkEnd w:id="0"/>
      <w:r>
        <w:rPr>
          <w:rFonts w:hint="eastAsia" w:ascii="宋体" w:hAnsi="宋体"/>
          <w:color w:val="000000"/>
          <w:lang w:val="en-US" w:eastAsia="zh-CN"/>
        </w:rPr>
        <w:t>5006LSDCXM</w:t>
      </w:r>
    </w:p>
    <w:p>
      <w:pPr>
        <w:ind w:firstLine="480" w:firstLineChars="200"/>
        <w:jc w:val="both"/>
        <w:rPr>
          <w:rFonts w:hint="eastAsia" w:ascii="宋体" w:hAnsi="宋体"/>
        </w:rPr>
      </w:pPr>
      <w:r>
        <w:rPr>
          <w:rFonts w:hint="eastAsia" w:ascii="宋体" w:hAnsi="宋体"/>
          <w:kern w:val="2"/>
          <w:sz w:val="24"/>
          <w:szCs w:val="24"/>
          <w:lang w:val="en-US" w:eastAsia="zh-CN" w:bidi="ar-SA"/>
        </w:rPr>
        <w:t>我公司将于近日对</w:t>
      </w:r>
      <w:r>
        <w:rPr>
          <w:rFonts w:hint="eastAsia" w:ascii="宋体" w:hAnsi="宋体"/>
          <w:b/>
          <w:bCs/>
          <w:color w:val="FF0000"/>
          <w:u w:val="none"/>
          <w:lang w:val="en-US" w:eastAsia="zh-CN"/>
        </w:rPr>
        <w:t>临时用吊车项目</w:t>
      </w:r>
      <w:r>
        <w:rPr>
          <w:rFonts w:hint="eastAsia" w:ascii="宋体" w:hAnsi="宋体"/>
          <w:kern w:val="2"/>
          <w:sz w:val="24"/>
          <w:szCs w:val="24"/>
          <w:lang w:val="en-US" w:eastAsia="zh-CN" w:bidi="ar-SA"/>
        </w:rPr>
        <w:t>进行招标，有意向合作的公司可与我公司联系进行</w:t>
      </w:r>
      <w:r>
        <w:rPr>
          <w:rFonts w:hint="eastAsia" w:ascii="宋体" w:hAnsi="宋体"/>
        </w:rPr>
        <w:t>网上报名者</w:t>
      </w:r>
      <w:r>
        <w:rPr>
          <w:rFonts w:hint="eastAsia" w:ascii="宋体" w:hAnsi="宋体"/>
          <w:lang w:eastAsia="zh-CN"/>
        </w:rPr>
        <w:t>（</w:t>
      </w:r>
      <w:r>
        <w:rPr>
          <w:rFonts w:hint="eastAsia" w:ascii="宋体" w:hAnsi="宋体"/>
          <w:lang w:val="en-US" w:eastAsia="zh-CN"/>
        </w:rPr>
        <w:t>疫情期间谢绝现场报名</w:t>
      </w:r>
      <w:r>
        <w:rPr>
          <w:rFonts w:hint="eastAsia" w:ascii="宋体" w:hAnsi="宋体"/>
          <w:lang w:eastAsia="zh-CN"/>
        </w:rPr>
        <w:t>）</w:t>
      </w:r>
      <w:r>
        <w:rPr>
          <w:rFonts w:hint="eastAsia" w:ascii="宋体" w:hAnsi="宋体"/>
        </w:rPr>
        <w:t>，请按要求填写投标报名函，并附上相关资质及业绩，</w:t>
      </w:r>
      <w:r>
        <w:rPr>
          <w:rFonts w:hint="eastAsia" w:ascii="宋体" w:hAnsi="宋体"/>
          <w:lang w:val="en-US" w:eastAsia="zh-CN"/>
        </w:rPr>
        <w:t>公平交易承诺函（</w:t>
      </w:r>
      <w:r>
        <w:rPr>
          <w:rFonts w:hint="eastAsia" w:ascii="宋体" w:hAnsi="宋体"/>
        </w:rPr>
        <w:t>加盖公章</w:t>
      </w:r>
      <w:r>
        <w:rPr>
          <w:rFonts w:hint="eastAsia" w:ascii="宋体" w:hAnsi="宋体"/>
          <w:lang w:eastAsia="zh-CN"/>
        </w:rPr>
        <w:t>）</w:t>
      </w:r>
      <w:r>
        <w:rPr>
          <w:rFonts w:hint="eastAsia" w:ascii="宋体" w:hAnsi="宋体"/>
        </w:rPr>
        <w:t>扫描后发至</w:t>
      </w:r>
      <w:r>
        <w:rPr>
          <w:rFonts w:hint="eastAsia" w:ascii="宋体" w:hAnsi="宋体"/>
          <w:lang w:val="en-US" w:eastAsia="zh-CN"/>
        </w:rPr>
        <w:t>陈凯</w:t>
      </w:r>
      <w:r>
        <w:rPr>
          <w:rFonts w:hint="eastAsia" w:ascii="宋体" w:hAnsi="宋体"/>
        </w:rPr>
        <w:t>邮箱。</w:t>
      </w:r>
    </w:p>
    <w:p>
      <w:pPr>
        <w:widowControl w:val="0"/>
        <w:autoSpaceDE w:val="0"/>
        <w:spacing w:line="240" w:lineRule="auto"/>
        <w:ind w:left="240" w:leftChars="100" w:firstLine="480" w:firstLineChars="200"/>
        <w:jc w:val="both"/>
        <w:rPr>
          <w:rFonts w:hint="eastAsia" w:ascii="宋体" w:hAnsi="宋体" w:cs="宋体"/>
        </w:rPr>
      </w:pPr>
      <w:r>
        <w:rPr>
          <w:rFonts w:hint="eastAsia" w:ascii="宋体" w:hAnsi="宋体" w:cs="宋体"/>
        </w:rPr>
        <w:t>项目业务内容：</w:t>
      </w:r>
    </w:p>
    <w:p>
      <w:pPr>
        <w:ind w:firstLine="480" w:firstLineChars="200"/>
        <w:jc w:val="both"/>
        <w:rPr>
          <w:rFonts w:hint="default" w:ascii="宋体" w:hAnsi="宋体"/>
          <w:lang w:val="en-US" w:eastAsia="zh-CN"/>
        </w:rPr>
      </w:pPr>
      <w:r>
        <w:rPr>
          <w:rFonts w:hint="eastAsia" w:ascii="宋体" w:hAnsi="宋体"/>
          <w:lang w:val="en-US" w:eastAsia="zh-CN"/>
        </w:rPr>
        <w:t>公司各部门临时使用吊车，以吊车吨位分类，按“台班+小时”方式计价。详见报价清单。</w:t>
      </w:r>
    </w:p>
    <w:p>
      <w:pPr>
        <w:ind w:firstLine="480" w:firstLineChars="200"/>
        <w:jc w:val="both"/>
        <w:rPr>
          <w:rFonts w:hint="eastAsia" w:ascii="宋体" w:hAnsi="宋体"/>
          <w:lang w:val="en-US" w:eastAsia="zh-CN"/>
        </w:rPr>
      </w:pPr>
      <w:r>
        <w:rPr>
          <w:rFonts w:hint="eastAsia" w:ascii="宋体" w:hAnsi="宋体"/>
          <w:lang w:val="en-US" w:eastAsia="zh-CN"/>
        </w:rPr>
        <w:t>合同期：2020年5月29日--2020年12月28日</w:t>
      </w:r>
    </w:p>
    <w:p>
      <w:pPr>
        <w:ind w:firstLine="480" w:firstLineChars="200"/>
        <w:jc w:val="both"/>
        <w:rPr>
          <w:rFonts w:hint="default" w:ascii="宋体" w:hAnsi="宋体"/>
          <w:lang w:val="en-US" w:eastAsia="zh-CN"/>
        </w:rPr>
      </w:pPr>
    </w:p>
    <w:p>
      <w:pPr>
        <w:ind w:firstLine="480" w:firstLineChars="200"/>
        <w:jc w:val="both"/>
        <w:rPr>
          <w:rFonts w:hint="eastAsia" w:ascii="宋体" w:hAnsi="宋体"/>
        </w:rPr>
      </w:pPr>
      <w:r>
        <w:rPr>
          <w:rFonts w:hint="eastAsia" w:ascii="宋体" w:hAnsi="宋体"/>
        </w:rPr>
        <w:t>联系人及电话：</w:t>
      </w:r>
    </w:p>
    <w:p>
      <w:pPr>
        <w:ind w:firstLine="600" w:firstLineChars="250"/>
        <w:rPr>
          <w:rFonts w:hint="default" w:ascii="宋体" w:hAnsi="宋体"/>
          <w:lang w:val="en-US" w:eastAsia="zh-CN"/>
        </w:rPr>
      </w:pPr>
      <w:r>
        <w:rPr>
          <w:rFonts w:hint="eastAsia" w:ascii="宋体" w:hAnsi="宋体"/>
        </w:rPr>
        <w:t xml:space="preserve">招标办：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陈  工</w:t>
      </w:r>
      <w:r>
        <w:rPr>
          <w:rFonts w:hint="eastAsia" w:ascii="宋体" w:hAnsi="宋体"/>
        </w:rPr>
        <w:t xml:space="preserve">  </w:t>
      </w:r>
      <w:r>
        <w:rPr>
          <w:rFonts w:hint="eastAsia" w:ascii="宋体" w:hAnsi="宋体"/>
          <w:lang w:val="en-US" w:eastAsia="zh-CN"/>
        </w:rPr>
        <w:t xml:space="preserve">    18010798830</w:t>
      </w:r>
    </w:p>
    <w:p>
      <w:pPr>
        <w:ind w:firstLine="600" w:firstLineChars="250"/>
        <w:rPr>
          <w:rFonts w:hint="eastAsia" w:ascii="宋体" w:hAnsi="宋体"/>
        </w:rPr>
      </w:pPr>
      <w:r>
        <w:rPr>
          <w:rFonts w:hint="eastAsia" w:ascii="宋体" w:hAnsi="宋体"/>
          <w:lang w:val="en-US" w:eastAsia="zh-CN"/>
        </w:rPr>
        <w:t>运输</w:t>
      </w:r>
      <w:r>
        <w:rPr>
          <w:rFonts w:hint="eastAsia" w:ascii="宋体" w:hAnsi="宋体"/>
          <w:lang w:eastAsia="zh-CN"/>
        </w:rPr>
        <w:t>部</w:t>
      </w:r>
      <w:r>
        <w:rPr>
          <w:rFonts w:hint="eastAsia" w:ascii="宋体" w:hAnsi="宋体"/>
        </w:rPr>
        <w:t xml:space="preserve">：    </w:t>
      </w:r>
      <w:r>
        <w:rPr>
          <w:rFonts w:hint="eastAsia" w:ascii="宋体" w:hAnsi="宋体"/>
          <w:lang w:val="en-US" w:eastAsia="zh-CN"/>
        </w:rPr>
        <w:t xml:space="preserve">    陈  工  </w:t>
      </w:r>
      <w:r>
        <w:rPr>
          <w:rFonts w:hint="eastAsia" w:ascii="宋体" w:hAnsi="宋体"/>
        </w:rPr>
        <w:t xml:space="preserve">   </w:t>
      </w:r>
      <w:r>
        <w:rPr>
          <w:rFonts w:hint="eastAsia" w:ascii="宋体" w:hAnsi="宋体"/>
          <w:lang w:val="en-US" w:eastAsia="zh-CN"/>
        </w:rPr>
        <w:t xml:space="preserve"> 18955389312</w:t>
      </w:r>
      <w:r>
        <w:rPr>
          <w:rFonts w:hint="eastAsia" w:ascii="宋体" w:hAnsi="宋体" w:eastAsia="宋体" w:cs="宋体"/>
          <w:b w:val="0"/>
          <w:bCs w:val="0"/>
          <w:kern w:val="2"/>
          <w:sz w:val="24"/>
          <w:szCs w:val="24"/>
          <w:lang w:val="en-US" w:eastAsia="zh-CN" w:bidi="ar-SA"/>
        </w:rPr>
        <w:t xml:space="preserve">  </w:t>
      </w:r>
    </w:p>
    <w:p>
      <w:pPr>
        <w:spacing w:line="300" w:lineRule="auto"/>
        <w:ind w:firstLine="600"/>
        <w:rPr>
          <w:rFonts w:hint="default" w:ascii="宋体" w:hAnsi="宋体" w:eastAsia="宋体"/>
          <w:b w:val="0"/>
          <w:bCs/>
          <w:color w:val="auto"/>
          <w:lang w:val="en-US" w:eastAsia="zh-CN"/>
        </w:rPr>
      </w:pPr>
      <w:r>
        <w:rPr>
          <w:rFonts w:hint="eastAsia" w:ascii="宋体" w:hAnsi="宋体"/>
          <w:b w:val="0"/>
          <w:bCs/>
          <w:color w:val="000000"/>
        </w:rPr>
        <w:t>所有参标单位必须报名，报名截止日期为</w:t>
      </w:r>
      <w:r>
        <w:rPr>
          <w:rFonts w:hint="eastAsia" w:ascii="宋体" w:hAnsi="宋体"/>
          <w:b w:val="0"/>
          <w:bCs/>
          <w:color w:val="auto"/>
          <w:u w:val="single"/>
          <w:lang w:val="en-US" w:eastAsia="zh-CN"/>
        </w:rPr>
        <w:t>2020</w:t>
      </w:r>
      <w:r>
        <w:rPr>
          <w:rFonts w:ascii="宋体" w:hAnsi="宋体"/>
          <w:b w:val="0"/>
          <w:bCs/>
          <w:color w:val="auto"/>
        </w:rPr>
        <w:t>年</w:t>
      </w:r>
      <w:r>
        <w:rPr>
          <w:rFonts w:hint="eastAsia" w:ascii="宋体" w:hAnsi="宋体"/>
          <w:b w:val="0"/>
          <w:bCs/>
          <w:color w:val="auto"/>
          <w:u w:val="single"/>
          <w:lang w:val="en-US" w:eastAsia="zh-CN"/>
        </w:rPr>
        <w:t>5</w:t>
      </w:r>
      <w:r>
        <w:rPr>
          <w:rFonts w:ascii="宋体" w:hAnsi="宋体"/>
          <w:b w:val="0"/>
          <w:bCs/>
          <w:color w:val="auto"/>
        </w:rPr>
        <w:t>月</w:t>
      </w:r>
      <w:r>
        <w:rPr>
          <w:rFonts w:hint="eastAsia" w:ascii="宋体" w:hAnsi="宋体"/>
          <w:b w:val="0"/>
          <w:bCs/>
          <w:color w:val="auto"/>
          <w:u w:val="single"/>
          <w:lang w:val="en-US" w:eastAsia="zh-CN"/>
        </w:rPr>
        <w:t>12</w:t>
      </w:r>
      <w:r>
        <w:rPr>
          <w:rFonts w:ascii="宋体" w:hAnsi="宋体"/>
          <w:b w:val="0"/>
          <w:bCs/>
          <w:color w:val="auto"/>
        </w:rPr>
        <w:t>日</w:t>
      </w:r>
      <w:r>
        <w:rPr>
          <w:rFonts w:hint="eastAsia" w:ascii="宋体" w:hAnsi="宋体"/>
          <w:b w:val="0"/>
          <w:bCs/>
          <w:color w:val="auto"/>
          <w:u w:val="single"/>
        </w:rPr>
        <w:t xml:space="preserve"> </w:t>
      </w:r>
      <w:r>
        <w:rPr>
          <w:rFonts w:hint="eastAsia" w:ascii="宋体" w:hAnsi="宋体"/>
          <w:b w:val="0"/>
          <w:bCs/>
          <w:color w:val="auto"/>
          <w:u w:val="single"/>
          <w:lang w:val="en-US" w:eastAsia="zh-CN"/>
        </w:rPr>
        <w:t xml:space="preserve">下午16:30  </w:t>
      </w:r>
      <w:r>
        <w:rPr>
          <w:rFonts w:hint="eastAsia" w:ascii="宋体" w:hAnsi="宋体"/>
          <w:b w:val="0"/>
          <w:bCs/>
          <w:color w:val="auto"/>
          <w:u w:val="single"/>
        </w:rPr>
        <w:t xml:space="preserve"> </w:t>
      </w:r>
      <w:r>
        <w:rPr>
          <w:rFonts w:hint="eastAsia" w:ascii="宋体" w:hAnsi="宋体"/>
          <w:b w:val="0"/>
          <w:bCs/>
          <w:color w:val="auto"/>
        </w:rPr>
        <w:t>逾期不报名者将不允许参加招标。</w:t>
      </w:r>
    </w:p>
    <w:p>
      <w:pPr>
        <w:spacing w:line="300" w:lineRule="auto"/>
        <w:ind w:firstLine="600"/>
        <w:rPr>
          <w:rFonts w:hint="eastAsia" w:ascii="宋体" w:hAnsi="宋体"/>
          <w:b/>
          <w:color w:val="000000"/>
        </w:rPr>
      </w:pPr>
      <w:r>
        <w:rPr>
          <w:rFonts w:hint="eastAsia" w:ascii="宋体" w:hAnsi="宋体"/>
          <w:b w:val="0"/>
          <w:bCs/>
          <w:color w:val="auto"/>
          <w:lang w:val="en-US" w:eastAsia="zh-CN"/>
        </w:rPr>
        <w:t>本项目开</w:t>
      </w:r>
      <w:r>
        <w:rPr>
          <w:rFonts w:hint="eastAsia" w:ascii="宋体" w:hAnsi="宋体"/>
          <w:b w:val="0"/>
          <w:bCs/>
          <w:color w:val="auto"/>
        </w:rPr>
        <w:t>标日期定于</w:t>
      </w:r>
      <w:r>
        <w:rPr>
          <w:rFonts w:ascii="宋体" w:hAnsi="宋体"/>
          <w:b w:val="0"/>
          <w:bCs/>
          <w:color w:val="auto"/>
        </w:rPr>
        <w:t xml:space="preserve"> </w:t>
      </w:r>
      <w:r>
        <w:rPr>
          <w:rFonts w:hint="eastAsia" w:ascii="宋体" w:hAnsi="宋体"/>
          <w:b w:val="0"/>
          <w:bCs/>
          <w:color w:val="auto"/>
          <w:u w:val="single"/>
        </w:rPr>
        <w:t xml:space="preserve">  </w:t>
      </w:r>
      <w:r>
        <w:rPr>
          <w:rFonts w:hint="eastAsia" w:ascii="宋体" w:hAnsi="宋体"/>
          <w:b w:val="0"/>
          <w:bCs/>
          <w:color w:val="auto"/>
          <w:u w:val="single"/>
          <w:lang w:val="en-US" w:eastAsia="zh-CN"/>
        </w:rPr>
        <w:t>2020</w:t>
      </w:r>
      <w:r>
        <w:rPr>
          <w:rFonts w:hint="eastAsia" w:ascii="宋体" w:hAnsi="宋体"/>
          <w:b w:val="0"/>
          <w:bCs/>
          <w:color w:val="auto"/>
          <w:u w:val="single"/>
        </w:rPr>
        <w:t xml:space="preserve"> </w:t>
      </w:r>
      <w:r>
        <w:rPr>
          <w:rFonts w:ascii="宋体" w:hAnsi="宋体"/>
          <w:b w:val="0"/>
          <w:bCs/>
          <w:color w:val="auto"/>
        </w:rPr>
        <w:t>年</w:t>
      </w:r>
      <w:r>
        <w:rPr>
          <w:rFonts w:hint="eastAsia" w:ascii="宋体" w:hAnsi="宋体"/>
          <w:b w:val="0"/>
          <w:bCs/>
          <w:color w:val="auto"/>
          <w:u w:val="single"/>
          <w:lang w:val="en-US" w:eastAsia="zh-CN"/>
        </w:rPr>
        <w:t xml:space="preserve"> 5</w:t>
      </w:r>
      <w:r>
        <w:rPr>
          <w:rFonts w:ascii="宋体" w:hAnsi="宋体"/>
          <w:b w:val="0"/>
          <w:bCs/>
          <w:color w:val="auto"/>
        </w:rPr>
        <w:t>月</w:t>
      </w:r>
      <w:r>
        <w:rPr>
          <w:rFonts w:hint="eastAsia" w:ascii="宋体" w:hAnsi="宋体"/>
          <w:b w:val="0"/>
          <w:bCs/>
          <w:color w:val="auto"/>
          <w:u w:val="single"/>
          <w:lang w:val="en-US" w:eastAsia="zh-CN"/>
        </w:rPr>
        <w:t>15</w:t>
      </w:r>
      <w:r>
        <w:rPr>
          <w:rFonts w:ascii="宋体" w:hAnsi="宋体"/>
          <w:b w:val="0"/>
          <w:bCs/>
          <w:color w:val="auto"/>
        </w:rPr>
        <w:t>日</w:t>
      </w:r>
      <w:r>
        <w:rPr>
          <w:rFonts w:hint="eastAsia" w:ascii="宋体" w:hAnsi="宋体"/>
          <w:b w:val="0"/>
          <w:bCs/>
          <w:color w:val="auto"/>
          <w:u w:val="single"/>
          <w:lang w:val="en-US" w:eastAsia="zh-CN"/>
        </w:rPr>
        <w:t>9:30</w:t>
      </w:r>
      <w:r>
        <w:rPr>
          <w:rFonts w:hint="eastAsia" w:ascii="宋体" w:hAnsi="宋体"/>
          <w:b w:val="0"/>
          <w:bCs/>
          <w:color w:val="auto"/>
        </w:rPr>
        <w:t>，在芜湖新兴铸管有限责任公司三山工业园区招标办会议室</w:t>
      </w:r>
      <w:r>
        <w:rPr>
          <w:rFonts w:hint="eastAsia" w:ascii="宋体" w:hAnsi="宋体"/>
          <w:b w:val="0"/>
          <w:bCs/>
          <w:color w:val="auto"/>
          <w:lang w:val="en-US" w:eastAsia="zh-CN"/>
        </w:rPr>
        <w:t>301</w:t>
      </w:r>
      <w:r>
        <w:rPr>
          <w:rFonts w:ascii="宋体" w:hAnsi="宋体"/>
          <w:b w:val="0"/>
          <w:bCs/>
          <w:color w:val="auto"/>
        </w:rPr>
        <w:t>准时举行</w:t>
      </w:r>
      <w:r>
        <w:rPr>
          <w:rFonts w:ascii="宋体" w:hAnsi="宋体"/>
          <w:b w:val="0"/>
          <w:bCs/>
          <w:color w:val="000000"/>
        </w:rPr>
        <w:t>。</w:t>
      </w:r>
    </w:p>
    <w:p>
      <w:pPr>
        <w:ind w:firstLine="2640" w:firstLineChars="11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2640" w:firstLineChars="11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2640" w:firstLineChars="11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w:t>
      </w:r>
      <w:r>
        <w:rPr>
          <w:rFonts w:hint="eastAsia" w:ascii="宋体" w:hAnsi="宋体"/>
          <w:sz w:val="24"/>
          <w:szCs w:val="24"/>
          <w:lang w:val="en-US" w:eastAsia="zh-CN"/>
        </w:rPr>
        <w:t>28</w:t>
      </w:r>
      <w:r>
        <w:rPr>
          <w:rFonts w:ascii="宋体" w:hAnsi="宋体"/>
          <w:sz w:val="24"/>
          <w:szCs w:val="24"/>
        </w:rPr>
        <w:t xml:space="preserve">                  </w:t>
      </w:r>
    </w:p>
    <w:p>
      <w:pPr>
        <w:ind w:firstLine="2640" w:firstLineChars="11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eastAsia="宋体"/>
          <w:sz w:val="24"/>
          <w:szCs w:val="24"/>
          <w:lang w:eastAsia="zh-CN"/>
        </w:rPr>
      </w:pPr>
      <w:r>
        <w:rPr>
          <w:rFonts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陈凯</w:t>
      </w:r>
    </w:p>
    <w:p>
      <w:pPr>
        <w:snapToGrid w:val="0"/>
        <w:spacing w:line="300" w:lineRule="auto"/>
        <w:rPr>
          <w:rFonts w:hint="eastAsia" w:ascii="宋体" w:hAnsi="宋体"/>
          <w:b/>
          <w:bCs/>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邮    箱：chenkai0324@163.com</w:t>
      </w:r>
    </w:p>
    <w:p>
      <w:pPr>
        <w:rPr>
          <w:rFonts w:hint="eastAsia" w:ascii="宋体" w:hAnsi="宋体"/>
          <w:b/>
          <w:bCs/>
        </w:rPr>
      </w:pPr>
    </w:p>
    <w:p>
      <w:pPr>
        <w:rPr>
          <w:rFonts w:hint="eastAsia" w:ascii="宋体" w:hAnsi="宋体"/>
          <w:b/>
          <w:bCs/>
        </w:rPr>
      </w:pPr>
    </w:p>
    <w:p>
      <w:pPr>
        <w:tabs>
          <w:tab w:val="left" w:pos="420"/>
          <w:tab w:val="left" w:pos="630"/>
        </w:tabs>
        <w:spacing w:line="300" w:lineRule="auto"/>
        <w:jc w:val="both"/>
        <w:rPr>
          <w:rFonts w:hint="eastAsia"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附件1：投标人须知及要求；</w:t>
      </w:r>
    </w:p>
    <w:p>
      <w:pPr>
        <w:tabs>
          <w:tab w:val="left" w:pos="420"/>
          <w:tab w:val="left" w:pos="630"/>
        </w:tabs>
        <w:spacing w:line="300" w:lineRule="auto"/>
        <w:jc w:val="both"/>
        <w:rPr>
          <w:rFonts w:hint="eastAsia" w:ascii="宋体" w:hAnsi="宋体"/>
          <w:b/>
          <w:bCs/>
          <w:color w:val="4F81BD"/>
          <w:sz w:val="22"/>
          <w:szCs w:val="22"/>
          <w:lang w:val="en-US" w:eastAsia="zh-CN"/>
        </w:rPr>
      </w:pPr>
      <w:r>
        <w:rPr>
          <w:rFonts w:hint="eastAsia" w:ascii="宋体" w:hAnsi="宋体"/>
          <w:b/>
          <w:bCs/>
          <w:color w:val="4F81BD"/>
          <w:sz w:val="22"/>
          <w:szCs w:val="22"/>
          <w:lang w:val="en-US" w:eastAsia="zh-CN"/>
        </w:rPr>
        <w:t>附件2：报名函、委托授权书、公平交易承诺函；</w:t>
      </w:r>
    </w:p>
    <w:p/>
    <w:p/>
    <w:p>
      <w:pPr>
        <w:tabs>
          <w:tab w:val="left" w:pos="420"/>
          <w:tab w:val="left" w:pos="630"/>
        </w:tabs>
        <w:spacing w:line="300" w:lineRule="auto"/>
        <w:jc w:val="center"/>
        <w:rPr>
          <w:rFonts w:hint="eastAsia" w:ascii="宋体" w:hAnsi="宋体"/>
          <w:color w:val="FF0000"/>
        </w:rPr>
      </w:pPr>
      <w:r>
        <w:rPr>
          <w:rFonts w:hint="eastAsia" w:ascii="隶书" w:hAnsi="宋体" w:eastAsia="隶书"/>
          <w:sz w:val="36"/>
        </w:rPr>
        <w:t>投标人须知及要求</w:t>
      </w:r>
    </w:p>
    <w:p>
      <w:pPr>
        <w:widowControl w:val="0"/>
        <w:numPr>
          <w:ilvl w:val="0"/>
          <w:numId w:val="1"/>
        </w:numPr>
        <w:spacing w:line="240" w:lineRule="auto"/>
        <w:jc w:val="both"/>
        <w:rPr>
          <w:rFonts w:ascii="宋体" w:hAnsi="宋体"/>
          <w:b/>
        </w:rPr>
      </w:pPr>
      <w:r>
        <w:rPr>
          <w:rFonts w:hint="eastAsia" w:ascii="宋体" w:hAnsi="宋体"/>
          <w:b/>
        </w:rPr>
        <w:t>一般要求</w:t>
      </w:r>
    </w:p>
    <w:p>
      <w:pPr>
        <w:pStyle w:val="3"/>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widowControl w:val="0"/>
        <w:numPr>
          <w:ilvl w:val="0"/>
          <w:numId w:val="1"/>
        </w:numPr>
        <w:spacing w:line="240" w:lineRule="auto"/>
        <w:jc w:val="both"/>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val="0"/>
          <w:color w:val="FF0000"/>
          <w:u w:val="single"/>
          <w:lang w:val="en-US" w:eastAsia="zh-CN"/>
        </w:rPr>
        <w:t>贰万</w:t>
      </w:r>
      <w:r>
        <w:rPr>
          <w:rFonts w:hint="eastAsia" w:ascii="宋体" w:hAnsi="宋体"/>
          <w:b/>
          <w:bCs w:val="0"/>
          <w:color w:val="FF0000"/>
          <w:u w:val="single"/>
        </w:rPr>
        <w:t>元</w:t>
      </w:r>
      <w:r>
        <w:rPr>
          <w:rFonts w:hint="eastAsia" w:ascii="宋体" w:hAnsi="宋体"/>
          <w:b/>
          <w:bCs w:val="0"/>
          <w:color w:val="FF0000"/>
          <w:u w:val="single"/>
          <w:lang w:val="en-US" w:eastAsia="zh-CN"/>
        </w:rPr>
        <w:t>整</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bCs/>
          <w:color w:val="7030A0"/>
          <w:u w:val="single"/>
          <w:lang w:val="en-US" w:eastAsia="zh-CN"/>
        </w:rPr>
        <w:t>2020</w:t>
      </w:r>
      <w:r>
        <w:rPr>
          <w:rFonts w:hint="eastAsia" w:ascii="宋体" w:hAnsi="宋体"/>
          <w:bCs/>
          <w:color w:val="7030A0"/>
        </w:rPr>
        <w:t xml:space="preserve">年 </w:t>
      </w:r>
      <w:r>
        <w:rPr>
          <w:rFonts w:hint="eastAsia" w:ascii="宋体" w:hAnsi="宋体"/>
          <w:bCs/>
          <w:color w:val="7030A0"/>
          <w:u w:val="single"/>
          <w:lang w:val="en-US" w:eastAsia="zh-CN"/>
        </w:rPr>
        <w:t>5</w:t>
      </w:r>
      <w:r>
        <w:rPr>
          <w:rFonts w:hint="eastAsia" w:ascii="宋体" w:hAnsi="宋体"/>
          <w:bCs/>
          <w:color w:val="7030A0"/>
        </w:rPr>
        <w:t>月</w:t>
      </w:r>
      <w:r>
        <w:rPr>
          <w:rFonts w:hint="eastAsia" w:ascii="宋体" w:hAnsi="宋体"/>
          <w:bCs/>
          <w:color w:val="7030A0"/>
          <w:u w:val="single"/>
          <w:lang w:val="en-US" w:eastAsia="zh-CN"/>
        </w:rPr>
        <w:t>12</w:t>
      </w:r>
      <w:r>
        <w:rPr>
          <w:rFonts w:hint="eastAsia" w:ascii="宋体" w:hAnsi="宋体"/>
          <w:bCs/>
          <w:color w:val="7030A0"/>
        </w:rPr>
        <w:t>日</w:t>
      </w:r>
      <w:r>
        <w:rPr>
          <w:rFonts w:hint="eastAsia" w:ascii="宋体" w:hAnsi="宋体"/>
          <w:bCs/>
          <w:color w:val="7030A0"/>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80" w:firstLineChars="700"/>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482" w:firstLineChars="200"/>
        <w:rPr>
          <w:rFonts w:hint="default" w:ascii="宋体" w:hAnsi="宋体" w:eastAsia="宋体"/>
          <w:b/>
          <w:bCs w:val="0"/>
          <w:lang w:val="en-US" w:eastAsia="zh-CN"/>
        </w:rPr>
      </w:pPr>
      <w:r>
        <w:rPr>
          <w:rFonts w:hint="eastAsia" w:ascii="宋体" w:hAnsi="宋体"/>
          <w:b/>
          <w:bCs w:val="0"/>
          <w:lang w:val="en-US" w:eastAsia="zh-CN"/>
        </w:rPr>
        <w:t>中标单位需缴纳60万元安全履约保障金。</w:t>
      </w:r>
    </w:p>
    <w:p>
      <w:pPr>
        <w:widowControl w:val="0"/>
        <w:numPr>
          <w:ilvl w:val="0"/>
          <w:numId w:val="1"/>
        </w:numPr>
        <w:spacing w:line="240" w:lineRule="auto"/>
        <w:jc w:val="both"/>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widowControl w:val="0"/>
        <w:numPr>
          <w:ilvl w:val="0"/>
          <w:numId w:val="1"/>
        </w:numPr>
        <w:spacing w:line="240" w:lineRule="auto"/>
        <w:jc w:val="both"/>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widowControl w:val="0"/>
        <w:numPr>
          <w:ilvl w:val="0"/>
          <w:numId w:val="1"/>
        </w:numPr>
        <w:spacing w:line="240" w:lineRule="auto"/>
        <w:jc w:val="both"/>
        <w:rPr>
          <w:rFonts w:ascii="宋体" w:hAnsi="宋体"/>
          <w:b/>
        </w:rPr>
      </w:pPr>
      <w:r>
        <w:rPr>
          <w:rFonts w:hint="eastAsia" w:ascii="宋体" w:hAnsi="宋体"/>
          <w:b/>
        </w:rPr>
        <w:t>投标人要求</w:t>
      </w:r>
    </w:p>
    <w:p>
      <w:pPr>
        <w:widowControl w:val="0"/>
        <w:numPr>
          <w:ilvl w:val="0"/>
          <w:numId w:val="2"/>
        </w:numPr>
        <w:spacing w:line="240" w:lineRule="auto"/>
        <w:ind w:left="285" w:leftChars="0"/>
        <w:jc w:val="both"/>
        <w:rPr>
          <w:rFonts w:ascii="宋体" w:hAnsi="宋体"/>
        </w:rPr>
      </w:pPr>
      <w:r>
        <w:rPr>
          <w:rFonts w:hint="eastAsia" w:ascii="宋体" w:hAnsi="宋体"/>
        </w:rPr>
        <w:t>合格的投标人应具有圆满履行合同的能力，具体应符合下列条件：</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具有独立订立合同的权利。</w:t>
      </w:r>
    </w:p>
    <w:p>
      <w:pPr>
        <w:widowControl w:val="0"/>
        <w:numPr>
          <w:ilvl w:val="0"/>
          <w:numId w:val="3"/>
        </w:numPr>
        <w:tabs>
          <w:tab w:val="left" w:pos="1125"/>
        </w:tabs>
        <w:spacing w:line="240" w:lineRule="auto"/>
        <w:ind w:left="1265" w:leftChars="0" w:hanging="425" w:firstLineChars="0"/>
        <w:jc w:val="both"/>
        <w:rPr>
          <w:rFonts w:hint="eastAsia" w:ascii="宋体" w:hAnsi="宋体"/>
          <w:color w:val="FF0000"/>
        </w:rPr>
      </w:pPr>
      <w:r>
        <w:rPr>
          <w:rFonts w:hint="eastAsia" w:ascii="宋体" w:hAnsi="宋体"/>
        </w:rPr>
        <w:t>必须有</w:t>
      </w:r>
      <w:r>
        <w:rPr>
          <w:rFonts w:hint="eastAsia" w:ascii="宋体" w:hAnsi="宋体"/>
          <w:lang w:val="en-US" w:eastAsia="zh-CN"/>
        </w:rPr>
        <w:t>履约</w:t>
      </w:r>
      <w:r>
        <w:rPr>
          <w:rFonts w:hint="eastAsia" w:ascii="宋体" w:hAnsi="宋体"/>
        </w:rPr>
        <w:t>能力和一定垫资能力。</w:t>
      </w:r>
    </w:p>
    <w:p>
      <w:pPr>
        <w:widowControl w:val="0"/>
        <w:numPr>
          <w:ilvl w:val="0"/>
          <w:numId w:val="3"/>
        </w:numPr>
        <w:tabs>
          <w:tab w:val="left" w:pos="1125"/>
        </w:tabs>
        <w:spacing w:line="240" w:lineRule="auto"/>
        <w:ind w:left="1265" w:leftChars="0" w:hanging="425" w:firstLineChars="0"/>
        <w:jc w:val="both"/>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widowControl w:val="0"/>
        <w:numPr>
          <w:ilvl w:val="0"/>
          <w:numId w:val="3"/>
        </w:numPr>
        <w:spacing w:line="240" w:lineRule="auto"/>
        <w:ind w:left="1265" w:leftChars="0" w:hanging="425" w:firstLineChars="0"/>
        <w:jc w:val="both"/>
        <w:rPr>
          <w:rFonts w:hint="eastAsia" w:ascii="宋体" w:hAnsi="宋体"/>
        </w:rPr>
      </w:pPr>
      <w:r>
        <w:rPr>
          <w:rFonts w:hint="eastAsia" w:ascii="宋体" w:hAnsi="宋体"/>
          <w:color w:val="00B0F0"/>
        </w:rPr>
        <w:t>投标单位中标后须按我公司安全管理制度执行。</w:t>
      </w:r>
    </w:p>
    <w:p>
      <w:pPr>
        <w:widowControl w:val="0"/>
        <w:numPr>
          <w:ilvl w:val="0"/>
          <w:numId w:val="2"/>
        </w:numPr>
        <w:tabs>
          <w:tab w:val="left" w:pos="705"/>
        </w:tabs>
        <w:spacing w:line="240" w:lineRule="auto"/>
        <w:ind w:left="285" w:leftChars="0" w:firstLine="0" w:firstLineChars="0"/>
        <w:jc w:val="both"/>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widowControl w:val="0"/>
        <w:spacing w:line="240" w:lineRule="auto"/>
        <w:ind w:left="420" w:firstLine="60" w:firstLineChars="25"/>
        <w:jc w:val="both"/>
        <w:rPr>
          <w:rFonts w:hint="eastAsia" w:ascii="宋体" w:hAnsi="宋体"/>
        </w:rPr>
      </w:pPr>
      <w:r>
        <w:rPr>
          <w:rFonts w:hint="eastAsia" w:ascii="宋体" w:hAnsi="宋体"/>
        </w:rPr>
        <w:t>(1)商务文件：</w:t>
      </w:r>
    </w:p>
    <w:p>
      <w:pPr>
        <w:widowControl w:val="0"/>
        <w:numPr>
          <w:ilvl w:val="0"/>
          <w:numId w:val="4"/>
        </w:numPr>
        <w:spacing w:line="240" w:lineRule="auto"/>
        <w:ind w:firstLine="120"/>
        <w:jc w:val="both"/>
        <w:rPr>
          <w:rFonts w:hint="eastAsia" w:ascii="宋体" w:hAnsi="宋体"/>
        </w:rPr>
      </w:pPr>
      <w:r>
        <w:rPr>
          <w:rFonts w:hint="eastAsia" w:ascii="宋体" w:hAnsi="宋体"/>
        </w:rPr>
        <w:t>投标人法定代表人授权及授权代表身份证复印件。</w:t>
      </w:r>
    </w:p>
    <w:p>
      <w:pPr>
        <w:widowControl w:val="0"/>
        <w:numPr>
          <w:ilvl w:val="0"/>
          <w:numId w:val="4"/>
        </w:numPr>
        <w:spacing w:line="240" w:lineRule="auto"/>
        <w:ind w:firstLine="120"/>
        <w:jc w:val="both"/>
        <w:rPr>
          <w:rFonts w:ascii="宋体" w:hAnsi="宋体"/>
        </w:rPr>
      </w:pPr>
      <w:r>
        <w:rPr>
          <w:rFonts w:hint="eastAsia" w:ascii="宋体" w:hAnsi="宋体"/>
        </w:rPr>
        <w:t>近几年内与此项目相关的业绩合同。</w:t>
      </w:r>
    </w:p>
    <w:p>
      <w:pPr>
        <w:widowControl w:val="0"/>
        <w:numPr>
          <w:ilvl w:val="0"/>
          <w:numId w:val="4"/>
        </w:numPr>
        <w:spacing w:line="240" w:lineRule="auto"/>
        <w:ind w:firstLine="120"/>
        <w:jc w:val="both"/>
        <w:rPr>
          <w:rFonts w:hint="eastAsia" w:ascii="宋体" w:hAnsi="宋体"/>
        </w:rPr>
      </w:pPr>
      <w:r>
        <w:rPr>
          <w:rFonts w:hint="eastAsia" w:ascii="宋体" w:hAnsi="宋体"/>
        </w:rPr>
        <w:t>投标有效期</w:t>
      </w:r>
      <w:r>
        <w:rPr>
          <w:rFonts w:hint="eastAsia" w:ascii="宋体" w:hAnsi="宋体"/>
          <w:bCs/>
          <w:color w:val="000000"/>
        </w:rPr>
        <w:t>。</w:t>
      </w:r>
    </w:p>
    <w:p>
      <w:pPr>
        <w:widowControl w:val="0"/>
        <w:numPr>
          <w:ilvl w:val="0"/>
          <w:numId w:val="4"/>
        </w:numPr>
        <w:spacing w:line="240" w:lineRule="auto"/>
        <w:ind w:firstLine="120"/>
        <w:jc w:val="both"/>
        <w:rPr>
          <w:rFonts w:hint="eastAsia" w:ascii="宋体" w:hAnsi="宋体"/>
          <w:bCs/>
          <w:color w:val="000000"/>
        </w:rPr>
      </w:pPr>
      <w:r>
        <w:rPr>
          <w:rFonts w:hint="eastAsia" w:ascii="宋体" w:hAnsi="宋体"/>
        </w:rPr>
        <w:t>企业法人营业执照及企业通过的相关体系认证文件等。</w:t>
      </w:r>
    </w:p>
    <w:p>
      <w:pPr>
        <w:widowControl w:val="0"/>
        <w:spacing w:line="240" w:lineRule="auto"/>
        <w:ind w:left="480"/>
        <w:jc w:val="both"/>
        <w:rPr>
          <w:rFonts w:hint="eastAsia" w:ascii="宋体" w:hAnsi="宋体"/>
          <w:bCs/>
          <w:color w:val="000000"/>
        </w:rPr>
      </w:pPr>
      <w:r>
        <w:rPr>
          <w:rFonts w:hint="eastAsia" w:ascii="宋体" w:hAnsi="宋体"/>
          <w:bCs/>
          <w:color w:val="000000"/>
        </w:rPr>
        <w:t>(2)技术文件：包括投标方案及其说明等。</w:t>
      </w:r>
    </w:p>
    <w:p>
      <w:pPr>
        <w:widowControl w:val="0"/>
        <w:spacing w:line="240" w:lineRule="auto"/>
        <w:ind w:left="480"/>
        <w:jc w:val="both"/>
        <w:rPr>
          <w:rFonts w:ascii="宋体" w:hAnsi="宋体"/>
          <w:bCs/>
          <w:color w:val="000000"/>
        </w:rPr>
      </w:pPr>
      <w:r>
        <w:rPr>
          <w:rFonts w:hint="eastAsia" w:ascii="宋体" w:hAnsi="宋体"/>
          <w:bCs/>
          <w:color w:val="000000"/>
        </w:rPr>
        <w:t>(3)价格文件：一份即可，必须单独密封。投标人必须填写投标报价表；</w:t>
      </w:r>
    </w:p>
    <w:p>
      <w:pPr>
        <w:widowControl w:val="0"/>
        <w:spacing w:line="240" w:lineRule="auto"/>
        <w:ind w:left="480"/>
        <w:jc w:val="both"/>
        <w:rPr>
          <w:rFonts w:ascii="宋体" w:hAnsi="宋体"/>
          <w:color w:val="000000"/>
        </w:rPr>
      </w:pPr>
      <w:r>
        <w:rPr>
          <w:rFonts w:hint="eastAsia" w:ascii="宋体" w:hAnsi="宋体"/>
          <w:color w:val="000000"/>
        </w:rPr>
        <w:t>(4)其它文件：包括商务、技术或不满足招标文件的差异说明，招标文件要求具备的其他内容，以及投标人额外承诺或补充说明等。</w:t>
      </w:r>
    </w:p>
    <w:p>
      <w:pPr>
        <w:spacing w:line="240" w:lineRule="auto"/>
        <w:rPr>
          <w:rFonts w:ascii="宋体" w:hAnsi="宋体"/>
          <w:b/>
        </w:rPr>
      </w:pPr>
      <w:r>
        <w:rPr>
          <w:rFonts w:hint="eastAsia" w:ascii="宋体" w:hAnsi="宋体"/>
          <w:b/>
          <w:lang w:val="en-US" w:eastAsia="zh-CN"/>
        </w:rPr>
        <w:t>六</w:t>
      </w:r>
      <w:r>
        <w:rPr>
          <w:rFonts w:hint="eastAsia" w:ascii="宋体" w:hAnsi="宋体"/>
          <w:b/>
        </w:rPr>
        <w:t>、投标费用</w:t>
      </w:r>
    </w:p>
    <w:p>
      <w:pPr>
        <w:spacing w:line="240" w:lineRule="auto"/>
        <w:ind w:left="480" w:left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numPr>
          <w:ilvl w:val="0"/>
          <w:numId w:val="0"/>
        </w:numPr>
        <w:spacing w:line="240" w:lineRule="auto"/>
        <w:ind w:leftChars="0"/>
        <w:rPr>
          <w:rFonts w:hint="eastAsia" w:ascii="宋体" w:hAnsi="宋体"/>
          <w:b/>
        </w:rPr>
      </w:pPr>
      <w:r>
        <w:rPr>
          <w:rFonts w:hint="eastAsia" w:ascii="宋体" w:hAnsi="宋体"/>
          <w:b/>
          <w:lang w:val="en-US" w:eastAsia="zh-CN"/>
        </w:rPr>
        <w:t>七、</w:t>
      </w:r>
      <w:r>
        <w:rPr>
          <w:rFonts w:hint="eastAsia" w:ascii="宋体" w:hAnsi="宋体"/>
          <w:b/>
        </w:rPr>
        <w:t>投标人建议</w:t>
      </w:r>
    </w:p>
    <w:p>
      <w:pPr>
        <w:spacing w:line="240" w:lineRule="auto"/>
        <w:ind w:left="480" w:leftChars="200"/>
        <w:rPr>
          <w:rFonts w:ascii="宋体" w:hAnsi="宋体"/>
        </w:rPr>
      </w:pPr>
      <w:r>
        <w:rPr>
          <w:rFonts w:hint="eastAsia" w:ascii="宋体" w:hAnsi="宋体"/>
        </w:rPr>
        <w:t>投标人可提出补充建议或说明，提出比招标文件的要求更为合理的方案。</w:t>
      </w:r>
    </w:p>
    <w:p>
      <w:pPr>
        <w:spacing w:line="240" w:lineRule="auto"/>
        <w:rPr>
          <w:rFonts w:ascii="宋体" w:hAnsi="宋体"/>
          <w:b/>
        </w:rPr>
      </w:pPr>
      <w:r>
        <w:rPr>
          <w:rFonts w:hint="eastAsia" w:ascii="宋体" w:hAnsi="宋体"/>
          <w:b/>
          <w:lang w:val="en-US" w:eastAsia="zh-CN"/>
        </w:rPr>
        <w:t>八</w:t>
      </w:r>
      <w:r>
        <w:rPr>
          <w:rFonts w:hint="eastAsia" w:ascii="宋体" w:hAnsi="宋体"/>
          <w:b/>
        </w:rPr>
        <w:t>、投标文件的份数和签署</w:t>
      </w:r>
    </w:p>
    <w:p>
      <w:pPr>
        <w:numPr>
          <w:ilvl w:val="0"/>
          <w:numId w:val="5"/>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两</w:t>
      </w:r>
      <w:r>
        <w:rPr>
          <w:rFonts w:ascii="宋体" w:hAnsi="宋体"/>
        </w:rPr>
        <w:t>份，正本一份，副本</w:t>
      </w:r>
      <w:r>
        <w:rPr>
          <w:rFonts w:hint="eastAsia" w:ascii="宋体" w:hAnsi="宋体"/>
        </w:rPr>
        <w:t>一</w:t>
      </w:r>
      <w:r>
        <w:rPr>
          <w:rFonts w:ascii="宋体" w:hAnsi="宋体"/>
        </w:rPr>
        <w:t>份</w:t>
      </w:r>
      <w:r>
        <w:rPr>
          <w:rFonts w:hint="eastAsia" w:ascii="宋体" w:hAnsi="宋体"/>
          <w:bCs/>
        </w:rPr>
        <w:t>，价格文件：一份即可，必须单独密封。</w:t>
      </w:r>
    </w:p>
    <w:p>
      <w:pPr>
        <w:numPr>
          <w:ilvl w:val="0"/>
          <w:numId w:val="5"/>
        </w:numPr>
        <w:spacing w:line="240" w:lineRule="auto"/>
        <w:ind w:left="0" w:leftChars="0" w:firstLine="480" w:firstLineChars="200"/>
        <w:rPr>
          <w:rFonts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lang w:val="en-US" w:eastAsia="zh-CN"/>
        </w:rPr>
        <w:t>九</w:t>
      </w:r>
      <w:r>
        <w:rPr>
          <w:rFonts w:hint="eastAsia" w:ascii="宋体" w:hAnsi="宋体"/>
          <w:b/>
        </w:rPr>
        <w:t>、投标报价</w:t>
      </w:r>
    </w:p>
    <w:p>
      <w:pPr>
        <w:pStyle w:val="10"/>
        <w:numPr>
          <w:ilvl w:val="0"/>
          <w:numId w:val="6"/>
        </w:numPr>
        <w:spacing w:line="240" w:lineRule="auto"/>
        <w:ind w:left="0" w:leftChars="0" w:firstLine="480" w:firstLineChars="200"/>
        <w:rPr>
          <w:rFonts w:hint="eastAsia" w:ascii="宋体" w:hAnsi="宋体"/>
          <w:b w:val="0"/>
          <w:bCs w:val="0"/>
        </w:rPr>
      </w:pPr>
      <w:r>
        <w:rPr>
          <w:rFonts w:ascii="宋体" w:hAnsi="宋体"/>
          <w:b w:val="0"/>
          <w:bCs w:val="0"/>
        </w:rPr>
        <w:t>投标人应严格按照招标文件提供的格式认真填写价格表。</w:t>
      </w:r>
    </w:p>
    <w:p>
      <w:pPr>
        <w:pStyle w:val="10"/>
        <w:numPr>
          <w:ilvl w:val="0"/>
          <w:numId w:val="6"/>
        </w:numPr>
        <w:spacing w:line="240" w:lineRule="auto"/>
        <w:ind w:left="0" w:leftChars="0" w:firstLine="480" w:firstLineChars="200"/>
        <w:rPr>
          <w:rFonts w:hint="eastAsia" w:ascii="宋体" w:hAnsi="宋体"/>
        </w:rPr>
      </w:pPr>
      <w:r>
        <w:t>若单价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为准，并对总价进行修正；若数字和文字表示的金额之间有差异，则以文字金额为准，并对数字做相应的修正；若正本与副本有差异，则以正本为准。</w:t>
      </w:r>
    </w:p>
    <w:p>
      <w:pPr>
        <w:spacing w:line="240" w:lineRule="auto"/>
        <w:rPr>
          <w:rFonts w:ascii="宋体" w:hAnsi="宋体"/>
          <w:b/>
        </w:rPr>
      </w:pPr>
      <w:r>
        <w:rPr>
          <w:rFonts w:hint="eastAsia" w:ascii="宋体" w:hAnsi="宋体"/>
          <w:b/>
          <w:lang w:val="en-US" w:eastAsia="zh-CN"/>
        </w:rPr>
        <w:t>十</w:t>
      </w:r>
      <w:r>
        <w:rPr>
          <w:rFonts w:hint="eastAsia" w:ascii="宋体" w:hAnsi="宋体"/>
          <w:b/>
        </w:rPr>
        <w:t>、投标文件的递交</w:t>
      </w:r>
    </w:p>
    <w:p>
      <w:pPr>
        <w:numPr>
          <w:ilvl w:val="0"/>
          <w:numId w:val="7"/>
        </w:numPr>
        <w:spacing w:line="240" w:lineRule="auto"/>
        <w:ind w:left="0" w:leftChars="0" w:firstLine="480" w:firstLineChars="200"/>
        <w:rPr>
          <w:rFonts w:ascii="宋体" w:hAnsi="宋体"/>
        </w:rPr>
      </w:pPr>
      <w:r>
        <w:rPr>
          <w:rFonts w:ascii="宋体" w:hAnsi="宋体"/>
        </w:rPr>
        <w:t>投标文件有密封与标记</w:t>
      </w:r>
    </w:p>
    <w:p>
      <w:pPr>
        <w:numPr>
          <w:ilvl w:val="0"/>
          <w:numId w:val="7"/>
        </w:numPr>
        <w:tabs>
          <w:tab w:val="left" w:pos="360"/>
          <w:tab w:val="left" w:pos="720"/>
          <w:tab w:val="left" w:pos="1050"/>
        </w:tabs>
        <w:spacing w:line="240" w:lineRule="auto"/>
        <w:ind w:left="0" w:leftChars="0" w:firstLine="480" w:firstLineChars="200"/>
        <w:rPr>
          <w:rFonts w:hint="eastAsia" w:ascii="宋体" w:hAnsi="宋体"/>
        </w:rPr>
      </w:pPr>
      <w:r>
        <w:rPr>
          <w:rFonts w:ascii="宋体" w:hAnsi="宋体"/>
        </w:rPr>
        <w:t>投标文件的每份正本、副本均应用档案袋分别密封，密封上应加盖投标人公章。</w:t>
      </w:r>
    </w:p>
    <w:p>
      <w:pPr>
        <w:numPr>
          <w:ilvl w:val="0"/>
          <w:numId w:val="7"/>
        </w:numPr>
        <w:spacing w:line="240" w:lineRule="auto"/>
        <w:ind w:left="0" w:leftChars="0" w:firstLine="480" w:firstLineChars="200"/>
        <w:rPr>
          <w:rFonts w:hint="eastAsia" w:ascii="宋体" w:hAnsi="宋体"/>
        </w:rPr>
      </w:pPr>
      <w:r>
        <w:rPr>
          <w:rFonts w:ascii="宋体" w:hAnsi="宋体"/>
        </w:rPr>
        <w:t>投标商</w:t>
      </w:r>
      <w:r>
        <w:rPr>
          <w:rFonts w:hint="eastAsia" w:ascii="宋体" w:hAnsi="宋体"/>
        </w:rPr>
        <w:t>应在开标前将投标文件送达到指定地点，逾期未到的都将视为弃权。如因特殊客观原因，投标人应于开标前告知招标人，并得到其同意者除外。</w:t>
      </w:r>
    </w:p>
    <w:p>
      <w:pPr>
        <w:numPr>
          <w:ilvl w:val="0"/>
          <w:numId w:val="7"/>
        </w:numPr>
        <w:spacing w:line="240" w:lineRule="auto"/>
        <w:ind w:left="0" w:leftChars="0" w:firstLine="480" w:firstLineChars="200"/>
        <w:rPr>
          <w:rFonts w:ascii="宋体" w:hAnsi="宋体"/>
        </w:rPr>
      </w:pPr>
      <w:r>
        <w:rPr>
          <w:rFonts w:hint="eastAsia" w:ascii="宋体" w:hAnsi="宋体"/>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十一、无效投标</w:t>
      </w:r>
    </w:p>
    <w:p>
      <w:pPr>
        <w:tabs>
          <w:tab w:val="left" w:pos="735"/>
        </w:tabs>
        <w:spacing w:line="240" w:lineRule="auto"/>
        <w:ind w:firstLine="480" w:firstLineChars="200"/>
        <w:rPr>
          <w:rFonts w:hint="eastAsia" w:ascii="宋体" w:hAnsi="宋体"/>
        </w:rPr>
      </w:pPr>
      <w:r>
        <w:rPr>
          <w:rFonts w:hint="eastAsia" w:ascii="宋体" w:hAnsi="宋体"/>
        </w:rPr>
        <w:t>发生下列情况之一者，视为无效投标。</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投标文件未按规定加盖公章和签字。</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投标文件字迹模糊、无法辨认影响评标的。</w:t>
      </w:r>
    </w:p>
    <w:p>
      <w:pPr>
        <w:numPr>
          <w:ilvl w:val="0"/>
          <w:numId w:val="8"/>
        </w:numPr>
        <w:spacing w:line="240" w:lineRule="auto"/>
        <w:ind w:left="0" w:firstLine="480" w:firstLineChars="200"/>
        <w:rPr>
          <w:rFonts w:ascii="宋体" w:hAnsi="宋体"/>
          <w:bCs/>
        </w:rPr>
      </w:pPr>
      <w:r>
        <w:rPr>
          <w:rFonts w:hint="eastAsia" w:ascii="宋体" w:hAnsi="宋体"/>
          <w:bCs/>
        </w:rPr>
        <w:t>授权委托书未加盖单位公章和法定代表人印章（或签字）的。</w:t>
      </w:r>
    </w:p>
    <w:p>
      <w:pPr>
        <w:numPr>
          <w:ilvl w:val="0"/>
          <w:numId w:val="8"/>
        </w:numPr>
        <w:spacing w:line="240" w:lineRule="auto"/>
        <w:ind w:left="0" w:firstLine="480" w:firstLineChars="200"/>
        <w:rPr>
          <w:rFonts w:ascii="宋体" w:hAnsi="宋体"/>
          <w:bCs/>
        </w:rPr>
      </w:pPr>
      <w:r>
        <w:rPr>
          <w:rFonts w:hint="eastAsia"/>
        </w:rPr>
        <w:t>投标人以任何形式干扰招投标工作公开、公正进行的。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投标人企业资质不全或无资质的。</w:t>
      </w:r>
    </w:p>
    <w:p>
      <w:pPr>
        <w:numPr>
          <w:ilvl w:val="0"/>
          <w:numId w:val="8"/>
        </w:numPr>
        <w:spacing w:line="240" w:lineRule="auto"/>
        <w:ind w:left="0" w:firstLine="480" w:firstLineChars="200"/>
        <w:rPr>
          <w:rFonts w:hint="eastAsia" w:ascii="宋体" w:hAnsi="宋体"/>
          <w:bCs/>
        </w:rPr>
      </w:pPr>
      <w:r>
        <w:rPr>
          <w:rFonts w:hint="eastAsia" w:ascii="宋体" w:hAnsi="宋体"/>
          <w:bCs/>
        </w:rPr>
        <w:t>附有招标人不能接受的条件的。</w:t>
      </w:r>
    </w:p>
    <w:p>
      <w:pPr>
        <w:numPr>
          <w:ilvl w:val="0"/>
          <w:numId w:val="8"/>
        </w:numPr>
        <w:spacing w:line="240" w:lineRule="auto"/>
        <w:ind w:left="0" w:firstLine="480" w:firstLineChars="200"/>
        <w:rPr>
          <w:rFonts w:hint="eastAsia" w:ascii="宋体" w:hAnsi="宋体"/>
          <w:bCs/>
        </w:rPr>
      </w:pPr>
      <w:r>
        <w:rPr>
          <w:rFonts w:hint="eastAsia" w:ascii="宋体" w:hAnsi="宋体"/>
          <w:bCs/>
        </w:rPr>
        <w:t>在投标文件中有两个以上的报价，且未明确哪个报价有效。</w:t>
      </w:r>
    </w:p>
    <w:p>
      <w:pPr>
        <w:numPr>
          <w:ilvl w:val="0"/>
          <w:numId w:val="8"/>
        </w:numPr>
        <w:spacing w:line="240" w:lineRule="auto"/>
        <w:ind w:left="0" w:firstLine="480" w:firstLineChars="200"/>
        <w:rPr>
          <w:rFonts w:hint="eastAsia" w:ascii="宋体" w:hAnsi="宋体"/>
          <w:bCs/>
        </w:rPr>
      </w:pPr>
      <w:r>
        <w:rPr>
          <w:rFonts w:hint="eastAsia" w:ascii="宋体" w:hAnsi="宋体"/>
          <w:bCs/>
        </w:rPr>
        <w:t>以联合体方式投标而无共同投标协议的。</w:t>
      </w:r>
    </w:p>
    <w:p>
      <w:pPr>
        <w:numPr>
          <w:ilvl w:val="0"/>
          <w:numId w:val="8"/>
        </w:numPr>
        <w:spacing w:line="240" w:lineRule="auto"/>
        <w:ind w:left="0" w:firstLine="480" w:firstLineChars="200"/>
        <w:rPr>
          <w:rFonts w:hint="eastAsia" w:ascii="宋体" w:hAnsi="宋体"/>
          <w:bCs/>
        </w:rPr>
      </w:pPr>
      <w:r>
        <w:rPr>
          <w:rFonts w:hint="eastAsia" w:ascii="宋体" w:hAnsi="宋体"/>
          <w:bCs/>
        </w:rPr>
        <w:t>以他人名义投标的。</w:t>
      </w:r>
    </w:p>
    <w:p>
      <w:pPr>
        <w:numPr>
          <w:ilvl w:val="0"/>
          <w:numId w:val="8"/>
        </w:numPr>
        <w:spacing w:line="240" w:lineRule="auto"/>
        <w:ind w:left="0" w:firstLine="480" w:firstLineChars="200"/>
        <w:rPr>
          <w:rFonts w:hint="eastAsia" w:ascii="宋体" w:hAnsi="宋体"/>
          <w:bCs/>
        </w:rPr>
      </w:pPr>
      <w:r>
        <w:rPr>
          <w:rFonts w:hint="eastAsia" w:ascii="宋体" w:hAnsi="宋体"/>
          <w:bCs/>
        </w:rPr>
        <w:t>未按招标文件要求提交投标保证金的。</w:t>
      </w:r>
    </w:p>
    <w:p>
      <w:pPr>
        <w:numPr>
          <w:ilvl w:val="0"/>
          <w:numId w:val="8"/>
        </w:numPr>
        <w:spacing w:line="240" w:lineRule="auto"/>
        <w:ind w:left="0" w:firstLine="480" w:firstLineChars="200"/>
        <w:rPr>
          <w:rFonts w:hint="eastAsia" w:ascii="宋体" w:hAnsi="宋体"/>
          <w:bCs/>
        </w:rPr>
      </w:pPr>
      <w:r>
        <w:rPr>
          <w:rFonts w:hint="eastAsia" w:ascii="宋体" w:hAnsi="宋体"/>
          <w:bCs/>
        </w:rPr>
        <w:t>投标人串通投标、弄虚作假或者以行贿、欺骗等不正当手段谋取中标的。</w:t>
      </w:r>
    </w:p>
    <w:p>
      <w:pPr>
        <w:numPr>
          <w:ilvl w:val="0"/>
          <w:numId w:val="8"/>
        </w:numPr>
        <w:spacing w:line="240" w:lineRule="auto"/>
        <w:ind w:left="0" w:firstLine="480" w:firstLineChars="200"/>
        <w:rPr>
          <w:rFonts w:hint="eastAsia" w:ascii="宋体" w:hAnsi="宋体"/>
          <w:bCs/>
        </w:rPr>
      </w:pPr>
      <w:r>
        <w:rPr>
          <w:rFonts w:hint="eastAsia" w:ascii="宋体" w:hAnsi="宋体"/>
          <w:bCs/>
        </w:rPr>
        <w:t>投标文件与招标文件存在严重背离等其他问题的。</w:t>
      </w:r>
    </w:p>
    <w:p>
      <w:pPr>
        <w:spacing w:line="240" w:lineRule="auto"/>
        <w:rPr>
          <w:rFonts w:hint="eastAsia" w:ascii="宋体" w:hAnsi="宋体"/>
          <w:b/>
          <w:color w:val="auto"/>
          <w:sz w:val="24"/>
          <w:szCs w:val="24"/>
        </w:rPr>
      </w:pPr>
      <w:r>
        <w:rPr>
          <w:rFonts w:hint="eastAsia" w:ascii="宋体" w:hAnsi="宋体"/>
          <w:b/>
          <w:color w:val="auto"/>
          <w:sz w:val="24"/>
          <w:szCs w:val="24"/>
        </w:rPr>
        <w:t>十</w:t>
      </w:r>
      <w:r>
        <w:rPr>
          <w:rFonts w:hint="eastAsia" w:ascii="宋体" w:hAnsi="宋体"/>
          <w:b/>
          <w:color w:val="auto"/>
          <w:sz w:val="24"/>
          <w:szCs w:val="24"/>
          <w:lang w:val="en-US" w:eastAsia="zh-CN"/>
        </w:rPr>
        <w:t>二</w:t>
      </w:r>
      <w:r>
        <w:rPr>
          <w:rFonts w:hint="eastAsia" w:ascii="宋体" w:hAnsi="宋体"/>
          <w:b/>
          <w:color w:val="auto"/>
          <w:sz w:val="24"/>
          <w:szCs w:val="24"/>
        </w:rPr>
        <w:t>、评标标准</w:t>
      </w:r>
    </w:p>
    <w:p>
      <w:pPr>
        <w:numPr>
          <w:ilvl w:val="0"/>
          <w:numId w:val="9"/>
        </w:numPr>
        <w:spacing w:line="240" w:lineRule="auto"/>
        <w:ind w:left="845" w:leftChars="0" w:hanging="425" w:firstLineChars="0"/>
        <w:rPr>
          <w:rFonts w:hint="eastAsia"/>
          <w:color w:val="auto"/>
          <w:sz w:val="24"/>
          <w:szCs w:val="24"/>
        </w:rPr>
      </w:pPr>
      <w:r>
        <w:rPr>
          <w:rFonts w:hint="eastAsia"/>
          <w:color w:val="auto"/>
          <w:sz w:val="24"/>
          <w:szCs w:val="24"/>
        </w:rPr>
        <w:t>由评标委员会评分，按分数从高到低顺序推荐中标候选单位。</w:t>
      </w:r>
    </w:p>
    <w:p>
      <w:pPr>
        <w:numPr>
          <w:ilvl w:val="0"/>
          <w:numId w:val="9"/>
        </w:numPr>
        <w:spacing w:line="240" w:lineRule="auto"/>
        <w:ind w:left="845" w:leftChars="0" w:hanging="425"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本次采取综合评分方式进行评标。</w:t>
      </w:r>
    </w:p>
    <w:p>
      <w:pPr>
        <w:numPr>
          <w:ilvl w:val="0"/>
          <w:numId w:val="9"/>
        </w:numPr>
        <w:spacing w:line="240" w:lineRule="auto"/>
        <w:ind w:left="845" w:leftChars="0" w:hanging="425"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本次招标采用一次报价开标。</w:t>
      </w:r>
    </w:p>
    <w:p>
      <w:pPr>
        <w:numPr>
          <w:ilvl w:val="0"/>
          <w:numId w:val="9"/>
        </w:numPr>
        <w:spacing w:line="240" w:lineRule="auto"/>
        <w:ind w:left="845" w:leftChars="0" w:hanging="425" w:firstLineChars="0"/>
        <w:rPr>
          <w:color w:val="0000FF"/>
          <w:sz w:val="24"/>
          <w:szCs w:val="24"/>
        </w:rPr>
      </w:pPr>
      <w:r>
        <w:rPr>
          <w:rFonts w:hint="eastAsia"/>
          <w:color w:val="auto"/>
          <w:sz w:val="24"/>
          <w:szCs w:val="24"/>
        </w:rPr>
        <w:t>评分标准：</w:t>
      </w:r>
      <w:r>
        <w:rPr>
          <w:rFonts w:hint="eastAsia"/>
          <w:color w:val="auto"/>
          <w:sz w:val="24"/>
          <w:szCs w:val="24"/>
          <w:lang w:val="en-US" w:eastAsia="zh-CN"/>
        </w:rPr>
        <w:t>价格70分，及时率20分，业绩5分，企业信誉5分</w:t>
      </w:r>
      <w:r>
        <w:rPr>
          <w:rFonts w:hint="eastAsia"/>
          <w:color w:val="auto"/>
          <w:sz w:val="24"/>
          <w:szCs w:val="24"/>
        </w:rPr>
        <w:t>。</w:t>
      </w:r>
    </w:p>
    <w:p>
      <w:pPr>
        <w:spacing w:line="240" w:lineRule="auto"/>
        <w:rPr>
          <w:rFonts w:hint="default" w:eastAsia="宋体"/>
          <w:b/>
          <w:color w:val="auto"/>
          <w:sz w:val="24"/>
          <w:szCs w:val="24"/>
          <w:lang w:val="en-US" w:eastAsia="zh-CN"/>
        </w:rPr>
      </w:pPr>
      <w:r>
        <w:rPr>
          <w:rFonts w:hint="eastAsia"/>
          <w:b/>
          <w:color w:val="0000FF"/>
          <w:sz w:val="24"/>
          <w:szCs w:val="24"/>
        </w:rPr>
        <w:t>十</w:t>
      </w:r>
      <w:r>
        <w:rPr>
          <w:rFonts w:hint="eastAsia"/>
          <w:b/>
          <w:color w:val="0000FF"/>
          <w:sz w:val="24"/>
          <w:szCs w:val="24"/>
          <w:lang w:val="en-US" w:eastAsia="zh-CN"/>
        </w:rPr>
        <w:t>三</w:t>
      </w:r>
      <w:r>
        <w:rPr>
          <w:rFonts w:hint="eastAsia"/>
          <w:b/>
          <w:color w:val="0000FF"/>
          <w:sz w:val="24"/>
          <w:szCs w:val="24"/>
        </w:rPr>
        <w:t>、其他要求</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color w:val="auto"/>
          <w:lang w:val="en-US" w:eastAsia="zh-CN"/>
        </w:rPr>
        <w:t>参与投标的单位需具备起重、吊装资质，</w:t>
      </w:r>
      <w:r>
        <w:rPr>
          <w:rFonts w:hint="eastAsia" w:ascii="宋体" w:hAnsi="宋体"/>
          <w:bCs/>
          <w:lang w:val="en-US" w:eastAsia="zh-CN"/>
        </w:rPr>
        <w:t>要有一定从业经验，开始从事起重吊装业务时间应早于2018年；投标单位自有吊车各型号车辆累加吨位不少于200吨位或自有车辆6部以上，车辆应达到国三及以上排放标准。在报名时应提供车辆信息，如发现信息有假的，取消报名资格。开标时发现材料有假的，取消投标资格，扣除投标保证金；开标后发现信息有假的，取消中标资格，扣除投标保证金。</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参与投标的单位应具备独立承担安全事故风险的经济实力,中标后须按我公司《相关方及外用工（单位）安全管理制度》规定办理相关手续，缴纳安全保障金60万，为员工购买人身意外伤害保险，满 55 周岁的人员不得进入我公司从事作业活动。</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承揽单位不得将临时吊车业务转让或分包给其他单位，如发现有转让、分包行为，则终止合同，扣除其缴纳的合同履约金。</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承揽单位需提供进厂作业车辆、人员信息材料，由运输部审核后的车辆、人员方可进厂作业。用车时间紧急、来不及审核的，承揽单位可向运输部先报备再作业，作业后审核车辆、人员信息。承揽单位需提供车辆材料包括在车管所查询的车辆信息、车辆行驶证（车辆照片、正本、副本）扫描件、保险扫描件、年检材料扫描件等；人员材料包括国家质量技术监督局颁发的特殊工种操作证扫描件、操作证的年审记录扫描件、保险扫描件。</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车辆、人员未经审核就进厂作业且未向运输部报备的，一经发现，按2000元/次考核；事后审核发现车辆、人员信息造假的，按5000元/次考核。</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承揽单位作业人员应具备一定的从业经验，小于100吨吊车操作人员从业时间不少于1年，100吨以上吊车操作人员从业时间限不少于2年；2011年前出厂的50吨以下吊车不得进厂作业；为确保车辆信息可查验，原则上应使用芜湖本地牌照车辆。</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承揽单位无法提供所需车型时可在征得用车部门同意后更换大吨位吊车作业，费用按所需小吨位吊车结算；承揽单位不得以小吨位吊车冒充大吨位吊车，如发现有小吨位吊车冒充大吨位吊车，则本次及之前使用同吨位吊车均不予结算；已经结算的费用，从未结算的费用中扣除，同时扣除承揽单位缴纳的合同履约保证金、将承揽单位该列入公司黑名单。</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 xml:space="preserve">为避免配重不全配带来安全隐患，所有带配重的吊车原则上需全配悬挂。承揽单位如不带全配重，则需提前查勘作业现场，根据现场情况选择配重，并承担由此带来的安全风险和作业延误的损失。 </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承揽单位必须具备的保供能力：16吨以下吊车，同时供车不少于3部；25吨吊车同时供车不少于5台；35吨至75吨吊车，同时供车不少于4部；80吨及以上吊车，同时供车不少于2部。运输部提前通知的用车，承揽单位无法满足用车需求时，每少1部车，考核2000元。</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一般情况下，运输部在用车前一天向承揽单位通报用车部门、车辆吨位、作业时间等信息，承揽单位车辆人员应及时到场作业。特殊情况下，如遇抢修作业，作业车辆人员应在接到用车通知2小时内到场。</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100吨及以上车辆进场前，承揽单位应提前查勘作业现场，向用车部门提出作业建议，用车部门应配合承揽单位提前整理出作业场地。承揽单位未进场查勘或未能提出作业建议，致使车辆进场后不能立即作业的，则以车辆实际作业时间核算作业时长；如果导致用车部门损失的，承揽单位应予以赔偿。</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承揽单位到达现场后应主动出示车辆起重表、人员操作证，配合用车部门设置防护措施（围栏、警示牌等）。在作业过程中，作业人员应服从用车部门的指挥，严格按安全操作规程作业。用车部门如有违章指挥、违章操作、违反劳动纪律的行为，承揽单位有权中止作业，同时可向公司安监部、运输部投诉。</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承揽单位车辆、人员进厂后，必须遵守我公司的安全、生产、环保、质量、现场、车辆交通等规章制度。如违反相关规章制度，我公司将依据规章制度给予考核。</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合同履约保证金为5万元。合同执行期结束，经双方确认无合同纠纷后，我公司退还承揽单位履约保证金（无息）；若存在尚未解决合同争端，履约保证金的有效期将延长到上述争端最终解决且所有理赔完毕。</w:t>
      </w:r>
    </w:p>
    <w:p>
      <w:pPr>
        <w:numPr>
          <w:ilvl w:val="0"/>
          <w:numId w:val="10"/>
        </w:numPr>
        <w:spacing w:line="240" w:lineRule="auto"/>
        <w:ind w:left="0" w:firstLine="480" w:firstLineChars="200"/>
        <w:rPr>
          <w:rFonts w:hint="eastAsia" w:ascii="宋体" w:hAnsi="宋体"/>
          <w:bCs/>
          <w:lang w:val="en-US" w:eastAsia="zh-CN"/>
        </w:rPr>
      </w:pPr>
      <w:r>
        <w:rPr>
          <w:rFonts w:hint="eastAsia" w:ascii="宋体" w:hAnsi="宋体"/>
          <w:bCs/>
          <w:lang w:val="en-US" w:eastAsia="zh-CN"/>
        </w:rPr>
        <w:t>费用结算：以月为结算期，承揽单位于每月10日前，出具由用车部门主管领导签字的结算证明，到运输部核算费用，经运输部核算金额后，于15日前开据有效增值税专用发票，一票结算，收票次月付款（转账现汇）。</w:t>
      </w: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eastAsia" w:ascii="宋体" w:hAnsi="宋体"/>
          <w:b/>
          <w:color w:val="auto"/>
          <w:sz w:val="24"/>
          <w:szCs w:val="24"/>
          <w:lang w:val="en-US" w:eastAsia="zh-CN"/>
        </w:rPr>
      </w:pPr>
    </w:p>
    <w:p>
      <w:pPr>
        <w:spacing w:line="240" w:lineRule="auto"/>
        <w:rPr>
          <w:rFonts w:hint="default" w:ascii="宋体" w:hAnsi="宋体"/>
          <w:b/>
          <w:color w:val="auto"/>
          <w:sz w:val="24"/>
          <w:szCs w:val="24"/>
          <w:lang w:val="en-US" w:eastAsia="zh-CN"/>
        </w:rPr>
      </w:pPr>
      <w:r>
        <w:rPr>
          <w:rFonts w:hint="eastAsia" w:ascii="宋体" w:hAnsi="宋体"/>
          <w:b/>
          <w:color w:val="auto"/>
          <w:sz w:val="24"/>
          <w:szCs w:val="24"/>
          <w:lang w:val="en-US" w:eastAsia="zh-CN"/>
        </w:rPr>
        <w:t>十四、报价表</w:t>
      </w:r>
    </w:p>
    <w:p>
      <w:pPr>
        <w:tabs>
          <w:tab w:val="left" w:pos="420"/>
          <w:tab w:val="left" w:pos="630"/>
        </w:tabs>
        <w:spacing w:line="300" w:lineRule="auto"/>
        <w:jc w:val="center"/>
        <w:rPr>
          <w:rFonts w:hint="eastAsia"/>
          <w:sz w:val="21"/>
          <w:szCs w:val="20"/>
          <w:u w:val="none"/>
          <w:lang w:eastAsia="zh-CN"/>
        </w:rPr>
      </w:pPr>
      <w:r>
        <w:rPr>
          <w:rFonts w:hint="eastAsia"/>
          <w:b/>
          <w:bCs/>
          <w:sz w:val="32"/>
          <w:szCs w:val="28"/>
          <w:u w:val="none"/>
          <w:lang w:eastAsia="zh-CN"/>
        </w:rPr>
        <w:t>不含税报价</w:t>
      </w:r>
      <w:r>
        <w:rPr>
          <w:rFonts w:hint="eastAsia"/>
          <w:sz w:val="24"/>
          <w:szCs w:val="22"/>
          <w:u w:val="none"/>
          <w:lang w:eastAsia="zh-CN"/>
        </w:rPr>
        <w:t>（适用税率</w:t>
      </w:r>
      <w:r>
        <w:rPr>
          <w:rFonts w:hint="eastAsia"/>
          <w:sz w:val="24"/>
          <w:szCs w:val="22"/>
          <w:u w:val="single"/>
          <w:lang w:val="en-US" w:eastAsia="zh-CN"/>
        </w:rPr>
        <w:t xml:space="preserve">    </w:t>
      </w:r>
      <w:r>
        <w:rPr>
          <w:rFonts w:hint="eastAsia"/>
          <w:sz w:val="24"/>
          <w:szCs w:val="22"/>
          <w:u w:val="none"/>
          <w:lang w:eastAsia="zh-CN"/>
        </w:rPr>
        <w:t>）</w:t>
      </w:r>
    </w:p>
    <w:tbl>
      <w:tblPr>
        <w:tblStyle w:val="7"/>
        <w:tblW w:w="9396" w:type="dxa"/>
        <w:jc w:val="center"/>
        <w:tblLayout w:type="fixed"/>
        <w:tblCellMar>
          <w:top w:w="0" w:type="dxa"/>
          <w:left w:w="15" w:type="dxa"/>
          <w:bottom w:w="0" w:type="dxa"/>
          <w:right w:w="15" w:type="dxa"/>
        </w:tblCellMar>
      </w:tblPr>
      <w:tblGrid>
        <w:gridCol w:w="772"/>
        <w:gridCol w:w="2272"/>
        <w:gridCol w:w="931"/>
        <w:gridCol w:w="1550"/>
        <w:gridCol w:w="1979"/>
        <w:gridCol w:w="1892"/>
      </w:tblGrid>
      <w:tr>
        <w:tblPrEx>
          <w:tblCellMar>
            <w:top w:w="0" w:type="dxa"/>
            <w:left w:w="15" w:type="dxa"/>
            <w:bottom w:w="0" w:type="dxa"/>
            <w:right w:w="15" w:type="dxa"/>
          </w:tblCellMar>
        </w:tblPrEx>
        <w:trPr>
          <w:trHeight w:val="1305" w:hRule="atLeast"/>
          <w:jc w:val="center"/>
        </w:trPr>
        <w:tc>
          <w:tcPr>
            <w:tcW w:w="772" w:type="dxa"/>
            <w:tcBorders>
              <w:top w:val="single" w:color="000000" w:sz="4" w:space="0"/>
              <w:left w:val="single" w:color="000000" w:sz="4" w:space="0"/>
              <w:right w:val="single" w:color="000000" w:sz="4" w:space="0"/>
            </w:tcBorders>
            <w:vAlign w:val="center"/>
          </w:tcPr>
          <w:p>
            <w:pPr>
              <w:autoSpaceDN w:val="0"/>
              <w:spacing w:line="360" w:lineRule="auto"/>
              <w:jc w:val="center"/>
              <w:textAlignment w:val="center"/>
              <w:rPr>
                <w:rFonts w:hint="eastAsia" w:ascii="宋体" w:hAnsi="宋体"/>
                <w:bCs/>
                <w:color w:val="000000"/>
                <w:sz w:val="22"/>
                <w:szCs w:val="22"/>
                <w:lang w:eastAsia="zh-CN"/>
              </w:rPr>
            </w:pPr>
            <w:r>
              <w:rPr>
                <w:rFonts w:hint="eastAsia" w:ascii="宋体" w:hAnsi="宋体"/>
                <w:bCs/>
                <w:color w:val="000000"/>
                <w:sz w:val="22"/>
                <w:szCs w:val="22"/>
                <w:lang w:eastAsia="zh-CN"/>
              </w:rPr>
              <w:t>序号</w:t>
            </w:r>
          </w:p>
        </w:tc>
        <w:tc>
          <w:tcPr>
            <w:tcW w:w="2272" w:type="dxa"/>
            <w:tcBorders>
              <w:top w:val="single" w:color="000000" w:sz="4" w:space="0"/>
              <w:left w:val="single" w:color="000000" w:sz="4" w:space="0"/>
              <w:right w:val="single" w:color="000000" w:sz="4" w:space="0"/>
            </w:tcBorders>
            <w:vAlign w:val="center"/>
          </w:tcPr>
          <w:p>
            <w:pPr>
              <w:autoSpaceDN w:val="0"/>
              <w:spacing w:line="360" w:lineRule="auto"/>
              <w:jc w:val="center"/>
              <w:textAlignment w:val="center"/>
              <w:rPr>
                <w:rFonts w:hint="eastAsia" w:ascii="宋体" w:hAnsi="宋体" w:eastAsia="宋体"/>
                <w:bCs/>
                <w:color w:val="000000"/>
                <w:sz w:val="22"/>
                <w:szCs w:val="22"/>
                <w:lang w:eastAsia="zh-CN"/>
              </w:rPr>
            </w:pPr>
            <w:r>
              <w:rPr>
                <w:rFonts w:hint="eastAsia" w:ascii="宋体" w:hAnsi="宋体"/>
                <w:bCs/>
                <w:color w:val="000000"/>
                <w:sz w:val="22"/>
                <w:szCs w:val="22"/>
                <w:lang w:eastAsia="zh-CN"/>
              </w:rPr>
              <w:t>吊车吨位</w:t>
            </w:r>
          </w:p>
        </w:tc>
        <w:tc>
          <w:tcPr>
            <w:tcW w:w="931"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auto"/>
              <w:jc w:val="center"/>
              <w:textAlignment w:val="center"/>
              <w:rPr>
                <w:rFonts w:hint="default" w:ascii="宋体" w:hAnsi="宋体" w:eastAsia="宋体"/>
                <w:bCs/>
                <w:color w:val="000000"/>
                <w:sz w:val="22"/>
                <w:szCs w:val="22"/>
                <w:lang w:val="en-US" w:eastAsia="zh-CN"/>
              </w:rPr>
            </w:pPr>
            <w:r>
              <w:rPr>
                <w:rFonts w:hint="eastAsia" w:ascii="宋体" w:hAnsi="宋体"/>
                <w:bCs/>
                <w:color w:val="000000"/>
                <w:sz w:val="22"/>
                <w:szCs w:val="22"/>
                <w:lang w:eastAsia="zh-CN"/>
              </w:rPr>
              <w:t>预计台班数</w:t>
            </w:r>
          </w:p>
        </w:tc>
        <w:tc>
          <w:tcPr>
            <w:tcW w:w="1550" w:type="dxa"/>
            <w:tcBorders>
              <w:top w:val="single" w:color="000000" w:sz="4" w:space="0"/>
              <w:left w:val="single" w:color="000000" w:sz="4" w:space="0"/>
              <w:right w:val="single" w:color="000000" w:sz="4" w:space="0"/>
            </w:tcBorders>
            <w:vAlign w:val="center"/>
          </w:tcPr>
          <w:p>
            <w:pPr>
              <w:autoSpaceDN w:val="0"/>
              <w:spacing w:line="360" w:lineRule="auto"/>
              <w:jc w:val="center"/>
              <w:textAlignment w:val="center"/>
              <w:rPr>
                <w:rFonts w:ascii="宋体" w:hAnsi="宋体"/>
                <w:bCs/>
                <w:color w:val="000000"/>
                <w:sz w:val="22"/>
                <w:szCs w:val="22"/>
              </w:rPr>
            </w:pPr>
            <w:r>
              <w:rPr>
                <w:rFonts w:ascii="宋体" w:hAnsi="宋体"/>
                <w:bCs/>
                <w:color w:val="000000"/>
                <w:sz w:val="22"/>
                <w:szCs w:val="22"/>
              </w:rPr>
              <w:t>单</w:t>
            </w:r>
            <w:r>
              <w:rPr>
                <w:rFonts w:hint="eastAsia" w:ascii="宋体" w:hAnsi="宋体"/>
                <w:bCs/>
                <w:color w:val="000000"/>
                <w:sz w:val="22"/>
                <w:szCs w:val="22"/>
                <w:lang w:val="en-US" w:eastAsia="zh-CN"/>
              </w:rPr>
              <w:t xml:space="preserve"> </w:t>
            </w:r>
            <w:r>
              <w:rPr>
                <w:rFonts w:ascii="宋体" w:hAnsi="宋体"/>
                <w:bCs/>
                <w:color w:val="000000"/>
                <w:sz w:val="22"/>
                <w:szCs w:val="22"/>
              </w:rPr>
              <w:t>价</w:t>
            </w:r>
            <w:r>
              <w:rPr>
                <w:rFonts w:hint="eastAsia" w:ascii="宋体" w:hAnsi="宋体"/>
                <w:bCs/>
                <w:color w:val="000000"/>
                <w:sz w:val="22"/>
                <w:szCs w:val="22"/>
                <w:lang w:val="en-US" w:eastAsia="zh-CN"/>
              </w:rPr>
              <w:t xml:space="preserve">    </w:t>
            </w:r>
            <w:r>
              <w:rPr>
                <w:rFonts w:hint="eastAsia" w:ascii="宋体" w:hAnsi="宋体"/>
                <w:bCs/>
                <w:color w:val="000000"/>
                <w:sz w:val="20"/>
                <w:szCs w:val="20"/>
              </w:rPr>
              <w:t>（元/</w:t>
            </w:r>
            <w:r>
              <w:rPr>
                <w:rFonts w:hint="eastAsia" w:ascii="宋体" w:hAnsi="宋体"/>
                <w:bCs/>
                <w:color w:val="000000"/>
                <w:sz w:val="20"/>
                <w:szCs w:val="20"/>
                <w:lang w:eastAsia="zh-CN"/>
              </w:rPr>
              <w:t>台班</w:t>
            </w:r>
            <w:r>
              <w:rPr>
                <w:rFonts w:hint="eastAsia" w:ascii="宋体" w:hAnsi="宋体"/>
                <w:bCs/>
                <w:color w:val="000000"/>
                <w:sz w:val="20"/>
                <w:szCs w:val="20"/>
              </w:rPr>
              <w:t>）</w:t>
            </w:r>
          </w:p>
        </w:tc>
        <w:tc>
          <w:tcPr>
            <w:tcW w:w="1979" w:type="dxa"/>
            <w:tcBorders>
              <w:top w:val="single" w:color="000000" w:sz="4" w:space="0"/>
              <w:left w:val="single" w:color="000000" w:sz="4" w:space="0"/>
              <w:bottom w:val="single" w:color="auto" w:sz="4" w:space="0"/>
              <w:right w:val="single" w:color="000000" w:sz="4" w:space="0"/>
            </w:tcBorders>
            <w:vAlign w:val="center"/>
          </w:tcPr>
          <w:p>
            <w:pPr>
              <w:autoSpaceDN w:val="0"/>
              <w:spacing w:line="360" w:lineRule="auto"/>
              <w:jc w:val="center"/>
              <w:textAlignment w:val="center"/>
              <w:rPr>
                <w:rFonts w:ascii="宋体" w:hAnsi="宋体"/>
                <w:bCs/>
                <w:color w:val="000000"/>
                <w:sz w:val="22"/>
                <w:szCs w:val="22"/>
              </w:rPr>
            </w:pPr>
            <w:r>
              <w:rPr>
                <w:rFonts w:hint="eastAsia" w:ascii="宋体" w:hAnsi="宋体"/>
                <w:bCs/>
                <w:color w:val="000000"/>
                <w:sz w:val="22"/>
                <w:szCs w:val="22"/>
              </w:rPr>
              <w:t>费</w:t>
            </w:r>
            <w:r>
              <w:rPr>
                <w:rFonts w:hint="eastAsia" w:ascii="宋体" w:hAnsi="宋体"/>
                <w:bCs/>
                <w:color w:val="000000"/>
                <w:sz w:val="22"/>
                <w:szCs w:val="22"/>
                <w:lang w:val="en-US" w:eastAsia="zh-CN"/>
              </w:rPr>
              <w:t xml:space="preserve"> </w:t>
            </w:r>
            <w:r>
              <w:rPr>
                <w:rFonts w:hint="eastAsia" w:ascii="宋体" w:hAnsi="宋体"/>
                <w:bCs/>
                <w:color w:val="000000"/>
                <w:sz w:val="22"/>
                <w:szCs w:val="22"/>
              </w:rPr>
              <w:t>用（元）</w:t>
            </w:r>
          </w:p>
        </w:tc>
        <w:tc>
          <w:tcPr>
            <w:tcW w:w="1892" w:type="dxa"/>
            <w:tcBorders>
              <w:top w:val="single" w:color="000000" w:sz="4" w:space="0"/>
              <w:left w:val="single" w:color="000000" w:sz="4" w:space="0"/>
              <w:bottom w:val="single" w:color="auto" w:sz="4" w:space="0"/>
              <w:right w:val="single" w:color="000000" w:sz="4" w:space="0"/>
            </w:tcBorders>
            <w:vAlign w:val="center"/>
          </w:tcPr>
          <w:p>
            <w:pPr>
              <w:autoSpaceDN w:val="0"/>
              <w:spacing w:line="360" w:lineRule="auto"/>
              <w:jc w:val="center"/>
              <w:textAlignment w:val="center"/>
              <w:rPr>
                <w:rFonts w:hint="eastAsia" w:ascii="宋体" w:hAnsi="宋体" w:eastAsia="宋体"/>
                <w:bCs/>
                <w:color w:val="000000"/>
                <w:sz w:val="22"/>
                <w:szCs w:val="22"/>
                <w:lang w:eastAsia="zh-CN"/>
              </w:rPr>
            </w:pPr>
            <w:r>
              <w:rPr>
                <w:rFonts w:hint="eastAsia" w:ascii="宋体" w:hAnsi="宋体"/>
                <w:bCs/>
                <w:color w:val="000000"/>
                <w:sz w:val="22"/>
                <w:szCs w:val="22"/>
                <w:lang w:eastAsia="zh-CN"/>
              </w:rPr>
              <w:t>备注</w:t>
            </w:r>
          </w:p>
        </w:tc>
      </w:tr>
      <w:tr>
        <w:tblPrEx>
          <w:tblCellMar>
            <w:top w:w="0" w:type="dxa"/>
            <w:left w:w="15" w:type="dxa"/>
            <w:bottom w:w="0" w:type="dxa"/>
            <w:right w:w="15" w:type="dxa"/>
          </w:tblCellMar>
        </w:tblPrEx>
        <w:trPr>
          <w:trHeight w:val="447"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2272" w:type="dxa"/>
            <w:tcBorders>
              <w:top w:val="single" w:color="000000" w:sz="4" w:space="0"/>
              <w:left w:val="single" w:color="000000" w:sz="4" w:space="0"/>
              <w:bottom w:val="single" w:color="000000" w:sz="4" w:space="0"/>
              <w:right w:val="single" w:color="000000" w:sz="4" w:space="0"/>
            </w:tcBorders>
            <w:vAlign w:val="center"/>
          </w:tcPr>
          <w:p>
            <w:pPr>
              <w:pStyle w:val="11"/>
              <w:ind w:left="0" w:lef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18"/>
                <w:szCs w:val="18"/>
              </w:rPr>
              <w:t>16吨及以下</w:t>
            </w:r>
          </w:p>
        </w:tc>
        <w:tc>
          <w:tcPr>
            <w:tcW w:w="9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i w:val="0"/>
                <w:color w:val="000000"/>
                <w:kern w:val="0"/>
                <w:sz w:val="21"/>
                <w:szCs w:val="21"/>
                <w:u w:val="none"/>
                <w:lang w:val="en-US" w:eastAsia="zh-CN" w:bidi="ar"/>
              </w:rPr>
              <w:t>95</w:t>
            </w:r>
          </w:p>
        </w:tc>
        <w:tc>
          <w:tcPr>
            <w:tcW w:w="1550" w:type="dxa"/>
            <w:tcBorders>
              <w:top w:val="single" w:color="000000" w:sz="4" w:space="0"/>
              <w:left w:val="single" w:color="000000" w:sz="4" w:space="0"/>
              <w:bottom w:val="single" w:color="000000" w:sz="4" w:space="0"/>
              <w:right w:val="single" w:color="auto" w:sz="4" w:space="0"/>
            </w:tcBorders>
            <w:vAlign w:val="top"/>
          </w:tcPr>
          <w:p>
            <w:pPr>
              <w:pStyle w:val="11"/>
              <w:spacing w:before="74"/>
              <w:ind w:left="64" w:leftChars="0"/>
              <w:rPr>
                <w:rFonts w:hint="eastAsia" w:ascii="宋体" w:hAnsi="宋体" w:eastAsia="宋体" w:cs="宋体"/>
                <w:color w:val="000000"/>
                <w:kern w:val="0"/>
                <w:sz w:val="22"/>
                <w:szCs w:val="22"/>
                <w:lang w:val="en-US" w:eastAsia="zh-CN" w:bidi="ar"/>
              </w:rPr>
            </w:pPr>
          </w:p>
        </w:tc>
        <w:tc>
          <w:tcPr>
            <w:tcW w:w="1979"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p>
        </w:tc>
        <w:tc>
          <w:tcPr>
            <w:tcW w:w="1892"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40" w:firstLineChars="200"/>
              <w:jc w:val="left"/>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eastAsia="zh-CN" w:bidi="ar"/>
              </w:rPr>
              <w:t>预计合同期内台班数为</w:t>
            </w:r>
            <w:r>
              <w:rPr>
                <w:rFonts w:hint="eastAsia" w:ascii="宋体" w:hAnsi="宋体" w:cs="宋体"/>
                <w:color w:val="000000"/>
                <w:kern w:val="0"/>
                <w:sz w:val="22"/>
                <w:szCs w:val="22"/>
                <w:lang w:val="en-US" w:eastAsia="zh-CN" w:bidi="ar"/>
              </w:rPr>
              <w:t>仅作为报价参考。</w:t>
            </w:r>
          </w:p>
          <w:p>
            <w:pPr>
              <w:widowControl/>
              <w:ind w:firstLine="440" w:firstLineChars="200"/>
              <w:jc w:val="lef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结算</w:t>
            </w:r>
            <w:r>
              <w:rPr>
                <w:rFonts w:hint="eastAsia" w:ascii="宋体" w:hAnsi="宋体" w:cs="宋体"/>
                <w:color w:val="000000"/>
                <w:kern w:val="0"/>
                <w:sz w:val="22"/>
                <w:szCs w:val="22"/>
                <w:lang w:eastAsia="zh-CN" w:bidi="ar"/>
              </w:rPr>
              <w:t>台班数</w:t>
            </w:r>
            <w:r>
              <w:rPr>
                <w:rFonts w:hint="eastAsia" w:ascii="宋体" w:hAnsi="宋体" w:cs="宋体"/>
                <w:color w:val="000000"/>
                <w:kern w:val="0"/>
                <w:sz w:val="22"/>
                <w:szCs w:val="22"/>
                <w:lang w:val="en-US" w:eastAsia="zh-CN" w:bidi="ar"/>
              </w:rPr>
              <w:t>以实际使用为准。</w:t>
            </w:r>
          </w:p>
        </w:tc>
      </w:tr>
      <w:tr>
        <w:tblPrEx>
          <w:tblCellMar>
            <w:top w:w="0" w:type="dxa"/>
            <w:left w:w="15" w:type="dxa"/>
            <w:bottom w:w="0" w:type="dxa"/>
            <w:right w:w="15" w:type="dxa"/>
          </w:tblCellMar>
        </w:tblPrEx>
        <w:trPr>
          <w:trHeight w:val="582"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2272" w:type="dxa"/>
            <w:tcBorders>
              <w:top w:val="single" w:color="000000" w:sz="4" w:space="0"/>
              <w:left w:val="single" w:color="000000" w:sz="4" w:space="0"/>
              <w:bottom w:val="single" w:color="000000" w:sz="4" w:space="0"/>
              <w:right w:val="single" w:color="000000" w:sz="4" w:space="0"/>
            </w:tcBorders>
            <w:vAlign w:val="center"/>
          </w:tcPr>
          <w:p>
            <w:pPr>
              <w:pStyle w:val="11"/>
              <w:ind w:left="0" w:lef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18"/>
                <w:szCs w:val="18"/>
                <w:lang w:val="en-US" w:eastAsia="zh-CN"/>
              </w:rPr>
              <w:t>25吨（不区分4节或5节臂）</w:t>
            </w:r>
          </w:p>
        </w:tc>
        <w:tc>
          <w:tcPr>
            <w:tcW w:w="9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377</w:t>
            </w:r>
          </w:p>
        </w:tc>
        <w:tc>
          <w:tcPr>
            <w:tcW w:w="1550" w:type="dxa"/>
            <w:tcBorders>
              <w:top w:val="single" w:color="000000" w:sz="4" w:space="0"/>
              <w:left w:val="single" w:color="000000" w:sz="4" w:space="0"/>
              <w:bottom w:val="single" w:color="000000" w:sz="4" w:space="0"/>
              <w:right w:val="single" w:color="auto" w:sz="4" w:space="0"/>
            </w:tcBorders>
            <w:vAlign w:val="top"/>
          </w:tcPr>
          <w:p>
            <w:pPr>
              <w:pStyle w:val="11"/>
              <w:ind w:left="0" w:leftChars="0"/>
              <w:rPr>
                <w:rFonts w:hint="eastAsia" w:ascii="宋体" w:hAnsi="宋体" w:eastAsia="宋体" w:cs="宋体"/>
                <w:color w:val="000000"/>
                <w:kern w:val="0"/>
                <w:sz w:val="22"/>
                <w:szCs w:val="22"/>
                <w:lang w:val="en-US" w:eastAsia="zh-CN" w:bidi="ar"/>
              </w:rPr>
            </w:pPr>
          </w:p>
        </w:tc>
        <w:tc>
          <w:tcPr>
            <w:tcW w:w="1979"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olor w:val="000000"/>
                <w:sz w:val="22"/>
                <w:szCs w:val="22"/>
              </w:rPr>
            </w:pPr>
          </w:p>
        </w:tc>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r>
      <w:tr>
        <w:tblPrEx>
          <w:tblCellMar>
            <w:top w:w="0" w:type="dxa"/>
            <w:left w:w="15" w:type="dxa"/>
            <w:bottom w:w="0" w:type="dxa"/>
            <w:right w:w="15" w:type="dxa"/>
          </w:tblCellMar>
        </w:tblPrEx>
        <w:trPr>
          <w:trHeight w:val="447"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2272" w:type="dxa"/>
            <w:tcBorders>
              <w:top w:val="single" w:color="000000" w:sz="4" w:space="0"/>
              <w:left w:val="single" w:color="000000" w:sz="4" w:space="0"/>
              <w:bottom w:val="single" w:color="000000" w:sz="4" w:space="0"/>
              <w:right w:val="single" w:color="000000" w:sz="4" w:space="0"/>
            </w:tcBorders>
            <w:vAlign w:val="center"/>
          </w:tcPr>
          <w:p>
            <w:pPr>
              <w:pStyle w:val="11"/>
              <w:ind w:left="0" w:leftChars="0"/>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35/40吨</w:t>
            </w:r>
          </w:p>
        </w:tc>
        <w:tc>
          <w:tcPr>
            <w:tcW w:w="9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1550" w:type="dxa"/>
            <w:tcBorders>
              <w:top w:val="single" w:color="000000" w:sz="4" w:space="0"/>
              <w:left w:val="single" w:color="000000" w:sz="4" w:space="0"/>
              <w:bottom w:val="single" w:color="000000" w:sz="4" w:space="0"/>
              <w:right w:val="single" w:color="auto" w:sz="4" w:space="0"/>
            </w:tcBorders>
            <w:vAlign w:val="top"/>
          </w:tcPr>
          <w:p>
            <w:pPr>
              <w:pStyle w:val="11"/>
              <w:ind w:left="0" w:leftChars="0"/>
              <w:rPr>
                <w:rFonts w:hint="eastAsia" w:ascii="宋体" w:hAnsi="宋体" w:eastAsia="宋体" w:cs="宋体"/>
                <w:color w:val="000000"/>
                <w:kern w:val="0"/>
                <w:sz w:val="22"/>
                <w:szCs w:val="22"/>
                <w:lang w:val="en-US" w:eastAsia="zh-CN" w:bidi="ar"/>
              </w:rPr>
            </w:pPr>
          </w:p>
        </w:tc>
        <w:tc>
          <w:tcPr>
            <w:tcW w:w="1979"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olor w:val="000000"/>
                <w:sz w:val="22"/>
                <w:szCs w:val="22"/>
              </w:rPr>
            </w:pPr>
          </w:p>
        </w:tc>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r>
      <w:tr>
        <w:tblPrEx>
          <w:tblCellMar>
            <w:top w:w="0" w:type="dxa"/>
            <w:left w:w="15" w:type="dxa"/>
            <w:bottom w:w="0" w:type="dxa"/>
            <w:right w:w="15" w:type="dxa"/>
          </w:tblCellMar>
        </w:tblPrEx>
        <w:trPr>
          <w:trHeight w:val="447"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2272" w:type="dxa"/>
            <w:tcBorders>
              <w:top w:val="single" w:color="000000" w:sz="4" w:space="0"/>
              <w:left w:val="single" w:color="000000" w:sz="4" w:space="0"/>
              <w:bottom w:val="single" w:color="000000" w:sz="4" w:space="0"/>
              <w:right w:val="single" w:color="000000" w:sz="4" w:space="0"/>
            </w:tcBorders>
            <w:vAlign w:val="center"/>
          </w:tcPr>
          <w:p>
            <w:pPr>
              <w:pStyle w:val="11"/>
              <w:ind w:left="0" w:lef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18"/>
                <w:szCs w:val="18"/>
                <w:lang w:val="en-US" w:eastAsia="zh-CN"/>
              </w:rPr>
              <w:t>50/55吨</w:t>
            </w:r>
          </w:p>
        </w:tc>
        <w:tc>
          <w:tcPr>
            <w:tcW w:w="9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i w:val="0"/>
                <w:color w:val="000000"/>
                <w:kern w:val="0"/>
                <w:sz w:val="21"/>
                <w:szCs w:val="21"/>
                <w:u w:val="none"/>
                <w:lang w:val="en-US" w:eastAsia="zh-CN" w:bidi="ar"/>
              </w:rPr>
              <w:t>301</w:t>
            </w:r>
          </w:p>
        </w:tc>
        <w:tc>
          <w:tcPr>
            <w:tcW w:w="1550" w:type="dxa"/>
            <w:tcBorders>
              <w:top w:val="single" w:color="000000" w:sz="4" w:space="0"/>
              <w:left w:val="single" w:color="000000" w:sz="4" w:space="0"/>
              <w:bottom w:val="single" w:color="000000" w:sz="4" w:space="0"/>
              <w:right w:val="single" w:color="auto" w:sz="4" w:space="0"/>
            </w:tcBorders>
            <w:vAlign w:val="top"/>
          </w:tcPr>
          <w:p>
            <w:pPr>
              <w:pStyle w:val="11"/>
              <w:ind w:left="0" w:leftChars="0"/>
              <w:rPr>
                <w:rFonts w:hint="eastAsia" w:ascii="宋体" w:hAnsi="宋体" w:eastAsia="宋体" w:cs="宋体"/>
                <w:color w:val="000000"/>
                <w:kern w:val="0"/>
                <w:sz w:val="22"/>
                <w:szCs w:val="22"/>
                <w:lang w:val="en-US" w:eastAsia="zh-CN" w:bidi="ar"/>
              </w:rPr>
            </w:pPr>
          </w:p>
        </w:tc>
        <w:tc>
          <w:tcPr>
            <w:tcW w:w="1979"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olor w:val="000000"/>
                <w:sz w:val="22"/>
                <w:szCs w:val="22"/>
              </w:rPr>
            </w:pPr>
          </w:p>
        </w:tc>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r>
      <w:tr>
        <w:tblPrEx>
          <w:tblCellMar>
            <w:top w:w="0" w:type="dxa"/>
            <w:left w:w="15" w:type="dxa"/>
            <w:bottom w:w="0" w:type="dxa"/>
            <w:right w:w="15" w:type="dxa"/>
          </w:tblCellMar>
        </w:tblPrEx>
        <w:trPr>
          <w:trHeight w:val="447"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w:t>
            </w:r>
          </w:p>
        </w:tc>
        <w:tc>
          <w:tcPr>
            <w:tcW w:w="2272" w:type="dxa"/>
            <w:tcBorders>
              <w:top w:val="single" w:color="000000" w:sz="4" w:space="0"/>
              <w:left w:val="single" w:color="000000" w:sz="4" w:space="0"/>
              <w:bottom w:val="single" w:color="000000" w:sz="4" w:space="0"/>
              <w:right w:val="single" w:color="000000" w:sz="4" w:space="0"/>
            </w:tcBorders>
            <w:vAlign w:val="center"/>
          </w:tcPr>
          <w:p>
            <w:pPr>
              <w:pStyle w:val="11"/>
              <w:ind w:left="0" w:lef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18"/>
                <w:szCs w:val="18"/>
                <w:lang w:val="en-US" w:eastAsia="zh-CN"/>
              </w:rPr>
              <w:t>70/75吨</w:t>
            </w:r>
          </w:p>
        </w:tc>
        <w:tc>
          <w:tcPr>
            <w:tcW w:w="9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i w:val="0"/>
                <w:color w:val="000000"/>
                <w:kern w:val="0"/>
                <w:sz w:val="21"/>
                <w:szCs w:val="21"/>
                <w:u w:val="none"/>
                <w:lang w:val="en-US" w:eastAsia="zh-CN" w:bidi="ar"/>
              </w:rPr>
              <w:t>117</w:t>
            </w:r>
          </w:p>
        </w:tc>
        <w:tc>
          <w:tcPr>
            <w:tcW w:w="1550" w:type="dxa"/>
            <w:tcBorders>
              <w:top w:val="single" w:color="000000" w:sz="4" w:space="0"/>
              <w:left w:val="single" w:color="000000" w:sz="4" w:space="0"/>
              <w:bottom w:val="single" w:color="000000" w:sz="4" w:space="0"/>
              <w:right w:val="single" w:color="auto" w:sz="4" w:space="0"/>
            </w:tcBorders>
            <w:vAlign w:val="top"/>
          </w:tcPr>
          <w:p>
            <w:pPr>
              <w:pStyle w:val="11"/>
              <w:ind w:left="0" w:leftChars="0"/>
              <w:rPr>
                <w:rFonts w:hint="eastAsia" w:ascii="宋体" w:hAnsi="宋体" w:eastAsia="宋体" w:cs="宋体"/>
                <w:color w:val="000000"/>
                <w:kern w:val="0"/>
                <w:sz w:val="22"/>
                <w:szCs w:val="22"/>
                <w:lang w:val="en-US" w:eastAsia="zh-CN" w:bidi="ar"/>
              </w:rPr>
            </w:pPr>
          </w:p>
        </w:tc>
        <w:tc>
          <w:tcPr>
            <w:tcW w:w="1979"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olor w:val="000000"/>
                <w:sz w:val="22"/>
                <w:szCs w:val="22"/>
              </w:rPr>
            </w:pPr>
          </w:p>
        </w:tc>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r>
      <w:tr>
        <w:tblPrEx>
          <w:tblCellMar>
            <w:top w:w="0" w:type="dxa"/>
            <w:left w:w="15" w:type="dxa"/>
            <w:bottom w:w="0" w:type="dxa"/>
            <w:right w:w="15" w:type="dxa"/>
          </w:tblCellMar>
        </w:tblPrEx>
        <w:trPr>
          <w:trHeight w:val="447"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2272" w:type="dxa"/>
            <w:tcBorders>
              <w:top w:val="single" w:color="000000" w:sz="4" w:space="0"/>
              <w:left w:val="single" w:color="000000" w:sz="4" w:space="0"/>
              <w:bottom w:val="single" w:color="000000" w:sz="4" w:space="0"/>
              <w:right w:val="single" w:color="000000" w:sz="4" w:space="0"/>
            </w:tcBorders>
            <w:vAlign w:val="center"/>
          </w:tcPr>
          <w:p>
            <w:pPr>
              <w:pStyle w:val="11"/>
              <w:ind w:left="0" w:leftChars="0"/>
              <w:jc w:val="center"/>
              <w:rPr>
                <w:rFonts w:hint="eastAsia" w:ascii="宋体" w:hAnsi="宋体" w:eastAsia="宋体" w:cs="宋体"/>
                <w:color w:val="auto"/>
                <w:kern w:val="0"/>
                <w:sz w:val="18"/>
                <w:szCs w:val="18"/>
                <w:lang w:val="en-US" w:eastAsia="zh-CN" w:bidi="ar"/>
              </w:rPr>
            </w:pPr>
            <w:r>
              <w:rPr>
                <w:rFonts w:hint="eastAsia" w:cs="宋体"/>
                <w:color w:val="auto"/>
                <w:kern w:val="0"/>
                <w:sz w:val="18"/>
                <w:szCs w:val="18"/>
                <w:lang w:val="en-US" w:eastAsia="zh-CN" w:bidi="ar"/>
              </w:rPr>
              <w:t>80</w:t>
            </w:r>
            <w:r>
              <w:rPr>
                <w:rFonts w:hint="eastAsia" w:ascii="宋体" w:hAnsi="宋体" w:eastAsia="宋体" w:cs="宋体"/>
                <w:color w:val="auto"/>
                <w:kern w:val="0"/>
                <w:sz w:val="18"/>
                <w:szCs w:val="18"/>
                <w:lang w:val="en-US" w:eastAsia="zh-CN" w:bidi="ar"/>
              </w:rPr>
              <w:t>吨</w:t>
            </w:r>
          </w:p>
        </w:tc>
        <w:tc>
          <w:tcPr>
            <w:tcW w:w="9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i w:val="0"/>
                <w:color w:val="000000"/>
                <w:kern w:val="0"/>
                <w:sz w:val="21"/>
                <w:szCs w:val="21"/>
                <w:u w:val="none"/>
                <w:lang w:val="en-US" w:eastAsia="zh-CN" w:bidi="ar"/>
              </w:rPr>
              <w:t>5</w:t>
            </w:r>
          </w:p>
        </w:tc>
        <w:tc>
          <w:tcPr>
            <w:tcW w:w="1550" w:type="dxa"/>
            <w:tcBorders>
              <w:top w:val="single" w:color="000000" w:sz="4" w:space="0"/>
              <w:left w:val="single" w:color="000000" w:sz="4" w:space="0"/>
              <w:bottom w:val="single" w:color="000000" w:sz="4" w:space="0"/>
              <w:right w:val="single" w:color="auto" w:sz="4" w:space="0"/>
            </w:tcBorders>
            <w:vAlign w:val="top"/>
          </w:tcPr>
          <w:p>
            <w:pPr>
              <w:pStyle w:val="11"/>
              <w:ind w:left="0" w:leftChars="0"/>
              <w:rPr>
                <w:rFonts w:hint="eastAsia" w:ascii="宋体" w:hAnsi="宋体" w:eastAsia="宋体" w:cs="宋体"/>
                <w:color w:val="000000"/>
                <w:kern w:val="0"/>
                <w:sz w:val="22"/>
                <w:szCs w:val="22"/>
                <w:lang w:val="en-US" w:eastAsia="zh-CN" w:bidi="ar"/>
              </w:rPr>
            </w:pPr>
          </w:p>
        </w:tc>
        <w:tc>
          <w:tcPr>
            <w:tcW w:w="1979"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olor w:val="000000"/>
                <w:sz w:val="22"/>
                <w:szCs w:val="22"/>
              </w:rPr>
            </w:pPr>
          </w:p>
        </w:tc>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r>
      <w:tr>
        <w:tblPrEx>
          <w:tblCellMar>
            <w:top w:w="0" w:type="dxa"/>
            <w:left w:w="15" w:type="dxa"/>
            <w:bottom w:w="0" w:type="dxa"/>
            <w:right w:w="15" w:type="dxa"/>
          </w:tblCellMar>
        </w:tblPrEx>
        <w:trPr>
          <w:trHeight w:val="447"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2272" w:type="dxa"/>
            <w:tcBorders>
              <w:top w:val="single" w:color="000000" w:sz="4" w:space="0"/>
              <w:left w:val="single" w:color="000000" w:sz="4" w:space="0"/>
              <w:bottom w:val="single" w:color="000000" w:sz="4" w:space="0"/>
              <w:right w:val="single" w:color="000000" w:sz="4" w:space="0"/>
            </w:tcBorders>
            <w:vAlign w:val="center"/>
          </w:tcPr>
          <w:p>
            <w:pPr>
              <w:pStyle w:val="11"/>
              <w:ind w:left="0" w:lef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100吨</w:t>
            </w:r>
          </w:p>
        </w:tc>
        <w:tc>
          <w:tcPr>
            <w:tcW w:w="9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i w:val="0"/>
                <w:color w:val="000000"/>
                <w:kern w:val="0"/>
                <w:sz w:val="21"/>
                <w:szCs w:val="21"/>
                <w:u w:val="none"/>
                <w:lang w:val="en-US" w:eastAsia="zh-CN" w:bidi="ar"/>
              </w:rPr>
              <w:t>30</w:t>
            </w:r>
          </w:p>
        </w:tc>
        <w:tc>
          <w:tcPr>
            <w:tcW w:w="1550" w:type="dxa"/>
            <w:tcBorders>
              <w:top w:val="single" w:color="000000" w:sz="4" w:space="0"/>
              <w:left w:val="single" w:color="000000" w:sz="4" w:space="0"/>
              <w:bottom w:val="single" w:color="000000" w:sz="4" w:space="0"/>
              <w:right w:val="single" w:color="auto" w:sz="4" w:space="0"/>
            </w:tcBorders>
            <w:vAlign w:val="top"/>
          </w:tcPr>
          <w:p>
            <w:pPr>
              <w:pStyle w:val="11"/>
              <w:ind w:left="0" w:leftChars="0"/>
              <w:rPr>
                <w:rFonts w:hint="eastAsia" w:ascii="宋体" w:hAnsi="宋体" w:eastAsia="宋体" w:cs="宋体"/>
                <w:color w:val="000000"/>
                <w:kern w:val="0"/>
                <w:sz w:val="22"/>
                <w:szCs w:val="22"/>
                <w:lang w:val="en-US" w:eastAsia="zh-CN" w:bidi="ar"/>
              </w:rPr>
            </w:pPr>
          </w:p>
        </w:tc>
        <w:tc>
          <w:tcPr>
            <w:tcW w:w="1979"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eastAsia="宋体" w:cs="Times New Roman"/>
                <w:color w:val="000000"/>
                <w:kern w:val="2"/>
                <w:sz w:val="22"/>
                <w:szCs w:val="22"/>
                <w:lang w:val="en-US" w:eastAsia="zh-CN" w:bidi="ar-SA"/>
              </w:rPr>
            </w:pPr>
          </w:p>
        </w:tc>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r>
      <w:tr>
        <w:tblPrEx>
          <w:tblCellMar>
            <w:top w:w="0" w:type="dxa"/>
            <w:left w:w="15" w:type="dxa"/>
            <w:bottom w:w="0" w:type="dxa"/>
            <w:right w:w="15" w:type="dxa"/>
          </w:tblCellMar>
        </w:tblPrEx>
        <w:trPr>
          <w:trHeight w:val="447"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8</w:t>
            </w:r>
          </w:p>
        </w:tc>
        <w:tc>
          <w:tcPr>
            <w:tcW w:w="2272" w:type="dxa"/>
            <w:tcBorders>
              <w:top w:val="single" w:color="000000" w:sz="4" w:space="0"/>
              <w:left w:val="single" w:color="000000" w:sz="4" w:space="0"/>
              <w:bottom w:val="single" w:color="000000" w:sz="4" w:space="0"/>
              <w:right w:val="single" w:color="000000" w:sz="4" w:space="0"/>
            </w:tcBorders>
            <w:vAlign w:val="center"/>
          </w:tcPr>
          <w:p>
            <w:pPr>
              <w:pStyle w:val="11"/>
              <w:ind w:left="0" w:lef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18"/>
                <w:szCs w:val="18"/>
                <w:lang w:val="en-US" w:eastAsia="zh-CN"/>
              </w:rPr>
              <w:t>110/130吨</w:t>
            </w:r>
          </w:p>
        </w:tc>
        <w:tc>
          <w:tcPr>
            <w:tcW w:w="9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i w:val="0"/>
                <w:color w:val="000000"/>
                <w:kern w:val="0"/>
                <w:sz w:val="21"/>
                <w:szCs w:val="21"/>
                <w:u w:val="none"/>
                <w:lang w:val="en-US" w:eastAsia="zh-CN" w:bidi="ar"/>
              </w:rPr>
              <w:t>30</w:t>
            </w:r>
          </w:p>
        </w:tc>
        <w:tc>
          <w:tcPr>
            <w:tcW w:w="1550" w:type="dxa"/>
            <w:tcBorders>
              <w:top w:val="single" w:color="000000" w:sz="4" w:space="0"/>
              <w:left w:val="single" w:color="000000" w:sz="4" w:space="0"/>
              <w:bottom w:val="single" w:color="000000" w:sz="4" w:space="0"/>
              <w:right w:val="single" w:color="auto" w:sz="4" w:space="0"/>
            </w:tcBorders>
            <w:vAlign w:val="top"/>
          </w:tcPr>
          <w:p>
            <w:pPr>
              <w:pStyle w:val="11"/>
              <w:ind w:left="0" w:leftChars="0"/>
              <w:rPr>
                <w:rFonts w:hint="eastAsia" w:ascii="宋体" w:hAnsi="宋体" w:eastAsia="宋体" w:cs="宋体"/>
                <w:color w:val="000000"/>
                <w:kern w:val="0"/>
                <w:sz w:val="22"/>
                <w:szCs w:val="22"/>
                <w:lang w:val="en-US" w:eastAsia="zh-CN" w:bidi="ar"/>
              </w:rPr>
            </w:pPr>
          </w:p>
        </w:tc>
        <w:tc>
          <w:tcPr>
            <w:tcW w:w="1979"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sz w:val="22"/>
                <w:szCs w:val="22"/>
              </w:rPr>
            </w:pPr>
          </w:p>
        </w:tc>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sz w:val="22"/>
                <w:szCs w:val="22"/>
              </w:rPr>
            </w:pPr>
          </w:p>
        </w:tc>
      </w:tr>
      <w:tr>
        <w:tblPrEx>
          <w:tblCellMar>
            <w:top w:w="0" w:type="dxa"/>
            <w:left w:w="15" w:type="dxa"/>
            <w:bottom w:w="0" w:type="dxa"/>
            <w:right w:w="15" w:type="dxa"/>
          </w:tblCellMar>
        </w:tblPrEx>
        <w:trPr>
          <w:trHeight w:val="447"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9</w:t>
            </w:r>
          </w:p>
        </w:tc>
        <w:tc>
          <w:tcPr>
            <w:tcW w:w="2272" w:type="dxa"/>
            <w:tcBorders>
              <w:top w:val="single" w:color="000000" w:sz="4" w:space="0"/>
              <w:left w:val="single" w:color="000000" w:sz="4" w:space="0"/>
              <w:bottom w:val="single" w:color="000000" w:sz="4" w:space="0"/>
              <w:right w:val="single" w:color="000000" w:sz="4" w:space="0"/>
            </w:tcBorders>
            <w:vAlign w:val="center"/>
          </w:tcPr>
          <w:p>
            <w:pPr>
              <w:pStyle w:val="11"/>
              <w:ind w:left="0" w:lef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18"/>
                <w:szCs w:val="18"/>
                <w:lang w:val="en-US" w:eastAsia="zh-CN"/>
              </w:rPr>
              <w:t>200/220吨</w:t>
            </w:r>
          </w:p>
        </w:tc>
        <w:tc>
          <w:tcPr>
            <w:tcW w:w="9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i w:val="0"/>
                <w:color w:val="000000"/>
                <w:kern w:val="0"/>
                <w:sz w:val="21"/>
                <w:szCs w:val="21"/>
                <w:u w:val="none"/>
                <w:lang w:val="en-US" w:eastAsia="zh-CN" w:bidi="ar"/>
              </w:rPr>
              <w:t>6</w:t>
            </w:r>
          </w:p>
        </w:tc>
        <w:tc>
          <w:tcPr>
            <w:tcW w:w="1550" w:type="dxa"/>
            <w:tcBorders>
              <w:top w:val="single" w:color="000000" w:sz="4" w:space="0"/>
              <w:left w:val="single" w:color="000000" w:sz="4" w:space="0"/>
              <w:bottom w:val="single" w:color="000000" w:sz="4" w:space="0"/>
              <w:right w:val="single" w:color="auto" w:sz="4" w:space="0"/>
            </w:tcBorders>
            <w:vAlign w:val="top"/>
          </w:tcPr>
          <w:p>
            <w:pPr>
              <w:pStyle w:val="11"/>
              <w:ind w:left="0" w:leftChars="0"/>
              <w:rPr>
                <w:rFonts w:hint="eastAsia" w:ascii="宋体" w:hAnsi="宋体" w:eastAsia="宋体" w:cs="宋体"/>
                <w:color w:val="000000"/>
                <w:kern w:val="0"/>
                <w:sz w:val="22"/>
                <w:szCs w:val="22"/>
                <w:lang w:val="en-US" w:eastAsia="zh-CN" w:bidi="ar"/>
              </w:rPr>
            </w:pPr>
          </w:p>
        </w:tc>
        <w:tc>
          <w:tcPr>
            <w:tcW w:w="1979"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sz w:val="22"/>
                <w:szCs w:val="22"/>
              </w:rPr>
            </w:pPr>
          </w:p>
        </w:tc>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sz w:val="22"/>
                <w:szCs w:val="22"/>
              </w:rPr>
            </w:pPr>
          </w:p>
        </w:tc>
      </w:tr>
      <w:tr>
        <w:tblPrEx>
          <w:tblCellMar>
            <w:top w:w="0" w:type="dxa"/>
            <w:left w:w="15" w:type="dxa"/>
            <w:bottom w:w="0" w:type="dxa"/>
            <w:right w:w="15" w:type="dxa"/>
          </w:tblCellMar>
        </w:tblPrEx>
        <w:trPr>
          <w:trHeight w:val="447" w:hRule="atLeast"/>
          <w:jc w:val="center"/>
        </w:trPr>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10</w:t>
            </w:r>
          </w:p>
        </w:tc>
        <w:tc>
          <w:tcPr>
            <w:tcW w:w="2272" w:type="dxa"/>
            <w:tcBorders>
              <w:top w:val="single" w:color="000000" w:sz="4" w:space="0"/>
              <w:left w:val="single" w:color="000000" w:sz="4" w:space="0"/>
              <w:bottom w:val="single" w:color="000000" w:sz="4" w:space="0"/>
              <w:right w:val="single" w:color="000000" w:sz="4" w:space="0"/>
            </w:tcBorders>
            <w:vAlign w:val="center"/>
          </w:tcPr>
          <w:p>
            <w:pPr>
              <w:pStyle w:val="11"/>
              <w:ind w:left="0" w:leftChars="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sz w:val="18"/>
                <w:szCs w:val="18"/>
                <w:lang w:val="en-US" w:eastAsia="zh-CN"/>
              </w:rPr>
              <w:t>300/350吨</w:t>
            </w:r>
          </w:p>
        </w:tc>
        <w:tc>
          <w:tcPr>
            <w:tcW w:w="931" w:type="dxa"/>
            <w:tcBorders>
              <w:top w:val="single" w:color="000000" w:sz="4" w:space="0"/>
              <w:left w:val="single" w:color="000000" w:sz="4" w:space="0"/>
              <w:bottom w:val="single" w:color="000000" w:sz="4" w:space="0"/>
              <w:right w:val="single" w:color="000000" w:sz="4" w:space="0"/>
            </w:tcBorders>
            <w:vAlign w:val="top"/>
          </w:tcPr>
          <w:p>
            <w:pPr>
              <w:pStyle w:val="11"/>
              <w:ind w:left="0" w:leftChars="0"/>
              <w:jc w:val="center"/>
              <w:rPr>
                <w:rFonts w:hint="default" w:ascii="宋体" w:hAnsi="宋体" w:eastAsia="宋体" w:cs="宋体"/>
                <w:color w:val="000000"/>
                <w:kern w:val="0"/>
                <w:sz w:val="22"/>
                <w:szCs w:val="22"/>
                <w:lang w:val="en-US" w:eastAsia="zh-CN" w:bidi="ar"/>
              </w:rPr>
            </w:pPr>
            <w:r>
              <w:rPr>
                <w:rFonts w:hint="eastAsia" w:cs="宋体"/>
                <w:color w:val="000000"/>
                <w:kern w:val="0"/>
                <w:sz w:val="22"/>
                <w:szCs w:val="22"/>
                <w:lang w:val="en-US" w:eastAsia="zh-CN" w:bidi="ar"/>
              </w:rPr>
              <w:t>1</w:t>
            </w:r>
          </w:p>
        </w:tc>
        <w:tc>
          <w:tcPr>
            <w:tcW w:w="1550" w:type="dxa"/>
            <w:tcBorders>
              <w:top w:val="single" w:color="000000" w:sz="4" w:space="0"/>
              <w:left w:val="single" w:color="000000" w:sz="4" w:space="0"/>
              <w:bottom w:val="single" w:color="000000" w:sz="4" w:space="0"/>
              <w:right w:val="single" w:color="auto" w:sz="4" w:space="0"/>
            </w:tcBorders>
            <w:vAlign w:val="top"/>
          </w:tcPr>
          <w:p>
            <w:pPr>
              <w:pStyle w:val="11"/>
              <w:ind w:left="0" w:leftChars="0"/>
              <w:rPr>
                <w:rFonts w:hint="eastAsia" w:ascii="宋体" w:hAnsi="宋体" w:eastAsia="宋体" w:cs="宋体"/>
                <w:color w:val="000000"/>
                <w:kern w:val="0"/>
                <w:sz w:val="22"/>
                <w:szCs w:val="22"/>
                <w:lang w:val="en-US" w:eastAsia="zh-CN" w:bidi="ar"/>
              </w:rPr>
            </w:pPr>
          </w:p>
        </w:tc>
        <w:tc>
          <w:tcPr>
            <w:tcW w:w="1979"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olor w:val="000000"/>
                <w:sz w:val="22"/>
                <w:szCs w:val="22"/>
              </w:rPr>
            </w:pPr>
          </w:p>
        </w:tc>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r>
      <w:tr>
        <w:tblPrEx>
          <w:tblCellMar>
            <w:top w:w="0" w:type="dxa"/>
            <w:left w:w="15" w:type="dxa"/>
            <w:bottom w:w="0" w:type="dxa"/>
            <w:right w:w="15" w:type="dxa"/>
          </w:tblCellMar>
        </w:tblPrEx>
        <w:trPr>
          <w:trHeight w:val="456" w:hRule="atLeast"/>
          <w:jc w:val="center"/>
        </w:trPr>
        <w:tc>
          <w:tcPr>
            <w:tcW w:w="5525" w:type="dxa"/>
            <w:gridSpan w:val="4"/>
            <w:tcBorders>
              <w:top w:val="single" w:color="000000" w:sz="4" w:space="0"/>
              <w:left w:val="single" w:color="000000" w:sz="4" w:space="0"/>
              <w:bottom w:val="single" w:color="000000" w:sz="4" w:space="0"/>
              <w:right w:val="single" w:color="auto" w:sz="4" w:space="0"/>
            </w:tcBorders>
            <w:vAlign w:val="center"/>
          </w:tcPr>
          <w:p>
            <w:pPr>
              <w:pStyle w:val="11"/>
              <w:ind w:left="0" w:leftChars="0"/>
              <w:jc w:val="center"/>
              <w:rPr>
                <w:rFonts w:hint="eastAsia" w:ascii="宋体" w:hAnsi="宋体" w:eastAsia="宋体" w:cs="宋体"/>
                <w:color w:val="000000"/>
                <w:kern w:val="0"/>
                <w:sz w:val="22"/>
                <w:szCs w:val="22"/>
                <w:lang w:val="en-US" w:eastAsia="zh-CN" w:bidi="ar"/>
              </w:rPr>
            </w:pPr>
            <w:r>
              <w:rPr>
                <w:rFonts w:hint="eastAsia" w:cs="宋体"/>
                <w:color w:val="000000"/>
                <w:kern w:val="0"/>
                <w:sz w:val="22"/>
                <w:szCs w:val="22"/>
                <w:lang w:val="en-US" w:eastAsia="zh-CN" w:bidi="ar"/>
              </w:rPr>
              <w:t>合计（元）</w:t>
            </w:r>
          </w:p>
        </w:tc>
        <w:tc>
          <w:tcPr>
            <w:tcW w:w="1979"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c>
          <w:tcPr>
            <w:tcW w:w="18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22"/>
                <w:szCs w:val="22"/>
              </w:rPr>
            </w:pPr>
          </w:p>
        </w:tc>
      </w:tr>
    </w:tbl>
    <w:p>
      <w:pPr>
        <w:pStyle w:val="2"/>
        <w:spacing w:before="9" w:line="360" w:lineRule="auto"/>
        <w:rPr>
          <w:rFonts w:hint="eastAsia"/>
          <w:color w:val="auto"/>
          <w:sz w:val="27"/>
          <w:lang w:val="en-US" w:eastAsia="zh-CN"/>
        </w:rPr>
      </w:pPr>
      <w:r>
        <w:rPr>
          <w:rFonts w:hint="eastAsia"/>
          <w:color w:val="auto"/>
          <w:sz w:val="27"/>
          <w:lang w:val="en-US" w:eastAsia="zh-CN"/>
        </w:rPr>
        <w:t>备注：</w:t>
      </w:r>
    </w:p>
    <w:p>
      <w:pPr>
        <w:pStyle w:val="2"/>
        <w:keepNext w:val="0"/>
        <w:keepLines w:val="0"/>
        <w:pageBreakBefore w:val="0"/>
        <w:kinsoku/>
        <w:wordWrap/>
        <w:overflowPunct/>
        <w:topLinePunct w:val="0"/>
        <w:autoSpaceDE/>
        <w:autoSpaceDN/>
        <w:bidi w:val="0"/>
        <w:adjustRightInd/>
        <w:snapToGrid/>
        <w:spacing w:before="9"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1、1个台班为8小时，用车时长</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4小时的为0.5台班，</w:t>
      </w:r>
      <w:r>
        <w:rPr>
          <w:rFonts w:hint="eastAsia" w:cs="宋体"/>
          <w:color w:val="auto"/>
          <w:sz w:val="24"/>
          <w:szCs w:val="24"/>
          <w:lang w:val="en-US" w:eastAsia="zh-CN"/>
        </w:rPr>
        <w:t>4小时＜</w:t>
      </w:r>
      <w:r>
        <w:rPr>
          <w:rFonts w:hint="eastAsia" w:ascii="宋体" w:hAnsi="宋体" w:eastAsia="宋体" w:cs="宋体"/>
          <w:color w:val="auto"/>
          <w:sz w:val="24"/>
          <w:szCs w:val="24"/>
          <w:lang w:val="en-US" w:eastAsia="zh-CN"/>
        </w:rPr>
        <w:t>用车时长</w:t>
      </w:r>
      <w:r>
        <w:rPr>
          <w:rFonts w:hint="eastAsia" w:cs="宋体"/>
          <w:color w:val="auto"/>
          <w:sz w:val="24"/>
          <w:szCs w:val="24"/>
          <w:lang w:val="en-US" w:eastAsia="zh-CN"/>
        </w:rPr>
        <w:t>≤8</w:t>
      </w:r>
      <w:r>
        <w:rPr>
          <w:rFonts w:hint="eastAsia" w:ascii="宋体" w:hAnsi="宋体" w:eastAsia="宋体" w:cs="宋体"/>
          <w:color w:val="auto"/>
          <w:sz w:val="24"/>
          <w:szCs w:val="24"/>
          <w:lang w:val="en-US" w:eastAsia="zh-CN"/>
        </w:rPr>
        <w:t>小时为1台班；小于100吨的吊车用车时长起步为0.5台班，100吨</w:t>
      </w:r>
      <w:r>
        <w:rPr>
          <w:rFonts w:hint="eastAsia" w:cs="宋体"/>
          <w:color w:val="auto"/>
          <w:sz w:val="24"/>
          <w:szCs w:val="24"/>
          <w:lang w:val="en-US" w:eastAsia="zh-CN"/>
        </w:rPr>
        <w:t>及</w:t>
      </w:r>
      <w:r>
        <w:rPr>
          <w:rFonts w:hint="eastAsia" w:ascii="宋体" w:hAnsi="宋体" w:eastAsia="宋体" w:cs="宋体"/>
          <w:color w:val="auto"/>
          <w:sz w:val="24"/>
          <w:szCs w:val="24"/>
          <w:lang w:val="en-US" w:eastAsia="zh-CN"/>
        </w:rPr>
        <w:t>以上吊车用车时长起步为1台班，各吨位吊车用车时长超8小时的部分按小时计算，尾数不足1小时的按1小时计算</w:t>
      </w:r>
      <w:r>
        <w:rPr>
          <w:rFonts w:hint="eastAsia" w:cs="宋体"/>
          <w:color w:val="auto"/>
          <w:sz w:val="24"/>
          <w:szCs w:val="24"/>
          <w:lang w:val="en-US" w:eastAsia="zh-CN"/>
        </w:rPr>
        <w:t>，每小时的单价为台班单价的1/8。</w:t>
      </w:r>
    </w:p>
    <w:p>
      <w:pPr>
        <w:pStyle w:val="2"/>
        <w:keepNext w:val="0"/>
        <w:keepLines w:val="0"/>
        <w:pageBreakBefore w:val="0"/>
        <w:kinsoku/>
        <w:wordWrap/>
        <w:overflowPunct/>
        <w:topLinePunct w:val="0"/>
        <w:autoSpaceDE/>
        <w:autoSpaceDN/>
        <w:bidi w:val="0"/>
        <w:adjustRightInd/>
        <w:snapToGrid/>
        <w:spacing w:before="9"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、以</w:t>
      </w:r>
      <w:r>
        <w:rPr>
          <w:rFonts w:hint="eastAsia" w:cs="宋体"/>
          <w:color w:val="auto"/>
          <w:sz w:val="24"/>
          <w:szCs w:val="24"/>
          <w:lang w:val="en-US" w:eastAsia="zh-CN"/>
        </w:rPr>
        <w:t>用车部门</w:t>
      </w:r>
      <w:r>
        <w:rPr>
          <w:rFonts w:hint="eastAsia" w:ascii="宋体" w:hAnsi="宋体" w:eastAsia="宋体" w:cs="宋体"/>
          <w:color w:val="auto"/>
          <w:sz w:val="24"/>
          <w:szCs w:val="24"/>
          <w:lang w:val="en-US" w:eastAsia="zh-CN"/>
        </w:rPr>
        <w:t>通知的开始作业时间为</w:t>
      </w:r>
      <w:r>
        <w:rPr>
          <w:rFonts w:hint="eastAsia" w:cs="宋体"/>
          <w:color w:val="auto"/>
          <w:sz w:val="24"/>
          <w:szCs w:val="24"/>
          <w:lang w:val="en-US" w:eastAsia="zh-CN"/>
        </w:rPr>
        <w:t>起始时间核算用车时长</w:t>
      </w:r>
      <w:r>
        <w:rPr>
          <w:rFonts w:hint="eastAsia" w:ascii="宋体" w:hAnsi="宋体" w:eastAsia="宋体" w:cs="宋体"/>
          <w:color w:val="auto"/>
          <w:sz w:val="24"/>
          <w:szCs w:val="24"/>
          <w:lang w:val="en-US" w:eastAsia="zh-CN"/>
        </w:rPr>
        <w:t>，如果车辆</w:t>
      </w:r>
      <w:r>
        <w:rPr>
          <w:rFonts w:hint="eastAsia" w:cs="宋体"/>
          <w:color w:val="auto"/>
          <w:sz w:val="24"/>
          <w:szCs w:val="24"/>
          <w:lang w:val="en-US" w:eastAsia="zh-CN"/>
        </w:rPr>
        <w:t>到</w:t>
      </w:r>
      <w:r>
        <w:rPr>
          <w:rFonts w:hint="eastAsia" w:ascii="宋体" w:hAnsi="宋体" w:eastAsia="宋体" w:cs="宋体"/>
          <w:color w:val="auto"/>
          <w:sz w:val="24"/>
          <w:szCs w:val="24"/>
          <w:lang w:val="en-US" w:eastAsia="zh-CN"/>
        </w:rPr>
        <w:t>场晚于通知的时间，则以实际开始作业时间为</w:t>
      </w:r>
      <w:r>
        <w:rPr>
          <w:rFonts w:hint="eastAsia" w:cs="宋体"/>
          <w:color w:val="auto"/>
          <w:sz w:val="24"/>
          <w:szCs w:val="24"/>
          <w:lang w:val="en-US" w:eastAsia="zh-CN"/>
        </w:rPr>
        <w:t>起始时间核算用车时长</w:t>
      </w:r>
      <w:r>
        <w:rPr>
          <w:rFonts w:hint="eastAsia" w:ascii="宋体" w:hAnsi="宋体" w:eastAsia="宋体" w:cs="宋体"/>
          <w:color w:val="auto"/>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、一天内同一部吊车有多项作业</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，以</w:t>
      </w:r>
      <w:r>
        <w:rPr>
          <w:rFonts w:hint="eastAsia" w:ascii="宋体" w:hAnsi="宋体" w:cs="宋体"/>
          <w:color w:val="auto"/>
          <w:sz w:val="24"/>
          <w:szCs w:val="24"/>
          <w:lang w:val="en-US" w:eastAsia="zh-CN"/>
        </w:rPr>
        <w:t>第一项作业开始时间、最后一项作业结束时间</w:t>
      </w:r>
      <w:r>
        <w:rPr>
          <w:rFonts w:hint="eastAsia" w:ascii="宋体" w:hAnsi="宋体" w:eastAsia="宋体" w:cs="宋体"/>
          <w:color w:val="auto"/>
          <w:sz w:val="24"/>
          <w:szCs w:val="24"/>
          <w:lang w:val="en-US" w:eastAsia="zh-CN"/>
        </w:rPr>
        <w:t>核算用车时长。</w:t>
      </w:r>
    </w:p>
    <w:p>
      <w:pPr>
        <w:spacing w:line="360" w:lineRule="auto"/>
        <w:rPr>
          <w:rFonts w:hint="eastAsia" w:ascii="宋体" w:hAnsi="宋体" w:eastAsia="宋体" w:cs="宋体"/>
          <w:sz w:val="28"/>
          <w:szCs w:val="24"/>
          <w:lang w:val="en-US" w:eastAsia="zh-CN"/>
        </w:rPr>
      </w:pPr>
      <w:r>
        <w:rPr>
          <w:rFonts w:hint="eastAsia" w:ascii="宋体" w:hAnsi="宋体" w:eastAsia="宋体" w:cs="宋体"/>
          <w:sz w:val="28"/>
          <w:szCs w:val="24"/>
          <w:lang w:eastAsia="zh-CN"/>
        </w:rPr>
        <w:t>报价单位</w:t>
      </w:r>
      <w:r>
        <w:rPr>
          <w:rFonts w:hint="eastAsia" w:ascii="宋体" w:hAnsi="宋体" w:cs="宋体"/>
          <w:sz w:val="28"/>
          <w:szCs w:val="24"/>
          <w:lang w:eastAsia="zh-CN"/>
        </w:rPr>
        <w:t>：</w:t>
      </w:r>
      <w:r>
        <w:rPr>
          <w:rFonts w:hint="eastAsia" w:ascii="宋体" w:hAnsi="宋体" w:cs="宋体"/>
          <w:sz w:val="28"/>
          <w:szCs w:val="24"/>
          <w:lang w:val="en-US" w:eastAsia="zh-CN"/>
        </w:rPr>
        <w:t xml:space="preserve">                  </w:t>
      </w:r>
      <w:r>
        <w:rPr>
          <w:rFonts w:hint="eastAsia" w:ascii="宋体" w:hAnsi="宋体" w:eastAsia="宋体" w:cs="宋体"/>
          <w:sz w:val="28"/>
          <w:szCs w:val="24"/>
          <w:lang w:eastAsia="zh-CN"/>
        </w:rPr>
        <w:t>时间</w:t>
      </w:r>
      <w:r>
        <w:rPr>
          <w:rFonts w:hint="eastAsia" w:ascii="宋体" w:hAnsi="宋体" w:cs="宋体"/>
          <w:sz w:val="28"/>
          <w:szCs w:val="24"/>
          <w:lang w:val="en-US" w:eastAsia="zh-CN"/>
        </w:rPr>
        <w:t>：</w:t>
      </w: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ind w:left="240" w:leftChars="100" w:firstLine="0" w:firstLineChars="0"/>
        <w:rPr>
          <w:rFonts w:hint="eastAsia" w:ascii="宋体" w:hAnsi="宋体" w:eastAsia="宋体" w:cs="宋体"/>
          <w:b w:val="0"/>
          <w:bCs w:val="0"/>
          <w:sz w:val="24"/>
          <w:szCs w:val="24"/>
          <w:lang w:val="en-US" w:eastAsia="zh-CN"/>
        </w:rPr>
      </w:pPr>
    </w:p>
    <w:p>
      <w:pPr>
        <w:spacing w:line="240" w:lineRule="auto"/>
        <w:jc w:val="right"/>
        <w:rPr>
          <w:rFonts w:hint="eastAsia" w:ascii="宋体" w:hAnsi="宋体"/>
          <w:b/>
          <w:color w:val="auto"/>
          <w:sz w:val="28"/>
          <w:szCs w:val="28"/>
        </w:rPr>
      </w:pPr>
      <w:r>
        <w:rPr>
          <w:rFonts w:hint="eastAsia" w:ascii="宋体" w:hAnsi="宋体"/>
          <w:b/>
          <w:color w:val="auto"/>
          <w:sz w:val="28"/>
          <w:szCs w:val="28"/>
        </w:rPr>
        <w:t>芜湖新兴</w:t>
      </w:r>
      <w:r>
        <w:rPr>
          <w:rFonts w:hint="eastAsia" w:ascii="宋体" w:hAnsi="宋体"/>
          <w:b/>
          <w:color w:val="auto"/>
          <w:sz w:val="28"/>
          <w:szCs w:val="28"/>
          <w:lang w:val="en-US" w:eastAsia="zh-CN"/>
        </w:rPr>
        <w:t>铸管有限责任公司</w:t>
      </w:r>
      <w:r>
        <w:rPr>
          <w:rFonts w:hint="eastAsia" w:ascii="宋体" w:hAnsi="宋体"/>
          <w:b/>
          <w:color w:val="auto"/>
          <w:sz w:val="28"/>
          <w:szCs w:val="28"/>
        </w:rPr>
        <w:t>招标办</w:t>
      </w:r>
    </w:p>
    <w:p>
      <w:pPr>
        <w:widowControl w:val="0"/>
        <w:spacing w:line="400" w:lineRule="atLeast"/>
        <w:jc w:val="center"/>
        <w:rPr>
          <w:rFonts w:hint="eastAsia" w:ascii="宋体" w:hAnsi="宋体"/>
          <w:b/>
          <w:bCs/>
          <w:u w:val="single"/>
        </w:rPr>
      </w:pPr>
      <w:r>
        <w:rPr>
          <w:rFonts w:hint="eastAsia" w:ascii="宋体" w:hAnsi="宋体"/>
          <w:color w:val="auto"/>
          <w:sz w:val="24"/>
          <w:szCs w:val="24"/>
          <w:lang w:val="en-US" w:eastAsia="zh-CN"/>
        </w:rPr>
        <w:t xml:space="preserve">                                                      2020</w:t>
      </w:r>
      <w:r>
        <w:rPr>
          <w:rFonts w:ascii="宋体" w:hAnsi="宋体"/>
          <w:color w:val="auto"/>
          <w:sz w:val="24"/>
          <w:szCs w:val="24"/>
        </w:rPr>
        <w:t>年</w:t>
      </w:r>
      <w:r>
        <w:rPr>
          <w:rFonts w:hint="eastAsia" w:ascii="宋体" w:hAnsi="宋体"/>
          <w:color w:val="auto"/>
          <w:sz w:val="24"/>
          <w:szCs w:val="24"/>
          <w:lang w:val="en-US" w:eastAsia="zh-CN"/>
        </w:rPr>
        <w:t>5</w:t>
      </w:r>
      <w:r>
        <w:rPr>
          <w:rFonts w:ascii="宋体" w:hAnsi="宋体"/>
          <w:color w:val="auto"/>
          <w:sz w:val="24"/>
          <w:szCs w:val="24"/>
        </w:rPr>
        <w:t>月</w:t>
      </w:r>
      <w:r>
        <w:rPr>
          <w:rFonts w:hint="eastAsia" w:ascii="宋体" w:hAnsi="宋体"/>
          <w:color w:val="auto"/>
          <w:sz w:val="24"/>
          <w:szCs w:val="24"/>
          <w:lang w:val="en-US" w:eastAsia="zh-CN"/>
        </w:rPr>
        <w:t>7</w:t>
      </w:r>
      <w:r>
        <w:rPr>
          <w:rFonts w:ascii="宋体" w:hAnsi="宋体"/>
          <w:color w:val="auto"/>
          <w:sz w:val="24"/>
          <w:szCs w:val="24"/>
        </w:rPr>
        <w:t>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0" w:firstLine="400"/>
      </w:pPr>
      <w:rPr>
        <w:rFonts w:hint="default"/>
      </w:rPr>
    </w:lvl>
  </w:abstractNum>
  <w:abstractNum w:abstractNumId="1">
    <w:nsid w:val="A640FB31"/>
    <w:multiLevelType w:val="singleLevel"/>
    <w:tmpl w:val="A640FB31"/>
    <w:lvl w:ilvl="0" w:tentative="0">
      <w:start w:val="1"/>
      <w:numFmt w:val="decimal"/>
      <w:suff w:val="nothing"/>
      <w:lvlText w:val="%1．"/>
      <w:lvlJc w:val="left"/>
      <w:pPr>
        <w:ind w:left="0" w:firstLine="400"/>
      </w:pPr>
      <w:rPr>
        <w:rFonts w:hint="default"/>
      </w:rPr>
    </w:lvl>
  </w:abstractNum>
  <w:abstractNum w:abstractNumId="2">
    <w:nsid w:val="B016B801"/>
    <w:multiLevelType w:val="singleLevel"/>
    <w:tmpl w:val="B016B801"/>
    <w:lvl w:ilvl="0" w:tentative="0">
      <w:start w:val="1"/>
      <w:numFmt w:val="decimal"/>
      <w:lvlText w:val="(%1)"/>
      <w:lvlJc w:val="left"/>
      <w:pPr>
        <w:ind w:left="425" w:hanging="425"/>
      </w:pPr>
      <w:rPr>
        <w:rFonts w:hint="default"/>
      </w:rPr>
    </w:lvl>
  </w:abstractNum>
  <w:abstractNum w:abstractNumId="3">
    <w:nsid w:val="D591D3AB"/>
    <w:multiLevelType w:val="singleLevel"/>
    <w:tmpl w:val="D591D3AB"/>
    <w:lvl w:ilvl="0" w:tentative="0">
      <w:start w:val="1"/>
      <w:numFmt w:val="decimal"/>
      <w:suff w:val="nothing"/>
      <w:lvlText w:val="%1．"/>
      <w:lvlJc w:val="left"/>
      <w:pPr>
        <w:ind w:left="0" w:firstLine="400"/>
      </w:pPr>
      <w:rPr>
        <w:rFonts w:hint="default"/>
      </w:rPr>
    </w:lvl>
  </w:abstractNum>
  <w:abstractNum w:abstractNumId="4">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5">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4C2AC38A"/>
    <w:multiLevelType w:val="singleLevel"/>
    <w:tmpl w:val="4C2AC38A"/>
    <w:lvl w:ilvl="0" w:tentative="0">
      <w:start w:val="1"/>
      <w:numFmt w:val="decimal"/>
      <w:suff w:val="space"/>
      <w:lvlText w:val="%1."/>
      <w:lvlJc w:val="left"/>
    </w:lvl>
  </w:abstractNum>
  <w:abstractNum w:abstractNumId="7">
    <w:nsid w:val="6A18A551"/>
    <w:multiLevelType w:val="singleLevel"/>
    <w:tmpl w:val="6A18A551"/>
    <w:lvl w:ilvl="0" w:tentative="0">
      <w:start w:val="1"/>
      <w:numFmt w:val="decimal"/>
      <w:suff w:val="nothing"/>
      <w:lvlText w:val="%1．"/>
      <w:lvlJc w:val="left"/>
      <w:pPr>
        <w:ind w:left="0" w:firstLine="400"/>
      </w:pPr>
      <w:rPr>
        <w:rFonts w:hint="default"/>
      </w:rPr>
    </w:lvl>
  </w:abstractNum>
  <w:abstractNum w:abstractNumId="8">
    <w:nsid w:val="70AFA3CB"/>
    <w:multiLevelType w:val="singleLevel"/>
    <w:tmpl w:val="70AFA3CB"/>
    <w:lvl w:ilvl="0" w:tentative="0">
      <w:start w:val="1"/>
      <w:numFmt w:val="decimal"/>
      <w:suff w:val="nothing"/>
      <w:lvlText w:val="%1．"/>
      <w:lvlJc w:val="left"/>
      <w:pPr>
        <w:ind w:left="0" w:firstLine="400"/>
      </w:pPr>
      <w:rPr>
        <w:rFonts w:hint="default"/>
      </w:rPr>
    </w:lvl>
  </w:abstractNum>
  <w:abstractNum w:abstractNumId="9">
    <w:nsid w:val="7182F057"/>
    <w:multiLevelType w:val="singleLevel"/>
    <w:tmpl w:val="7182F057"/>
    <w:lvl w:ilvl="0" w:tentative="0">
      <w:start w:val="1"/>
      <w:numFmt w:val="decimal"/>
      <w:lvlText w:val="%1."/>
      <w:lvlJc w:val="left"/>
      <w:pPr>
        <w:ind w:left="425" w:hanging="425"/>
      </w:pPr>
      <w:rPr>
        <w:rFonts w:hint="default"/>
      </w:rPr>
    </w:lvl>
  </w:abstractNum>
  <w:num w:numId="1">
    <w:abstractNumId w:val="4"/>
    <w:lvlOverride w:ilvl="0">
      <w:startOverride w:val="1"/>
    </w:lvlOverride>
  </w:num>
  <w:num w:numId="2">
    <w:abstractNumId w:val="6"/>
  </w:num>
  <w:num w:numId="3">
    <w:abstractNumId w:val="2"/>
  </w:num>
  <w:num w:numId="4">
    <w:abstractNumId w:val="5"/>
  </w:num>
  <w:num w:numId="5">
    <w:abstractNumId w:val="3"/>
  </w:num>
  <w:num w:numId="6">
    <w:abstractNumId w:val="1"/>
  </w:num>
  <w:num w:numId="7">
    <w:abstractNumId w:val="7"/>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D5BCE"/>
    <w:rsid w:val="01DB6B3D"/>
    <w:rsid w:val="047F6611"/>
    <w:rsid w:val="0920424B"/>
    <w:rsid w:val="10772EB5"/>
    <w:rsid w:val="11042718"/>
    <w:rsid w:val="11DE5603"/>
    <w:rsid w:val="13BA318B"/>
    <w:rsid w:val="1C28711D"/>
    <w:rsid w:val="1FC61767"/>
    <w:rsid w:val="234F5E22"/>
    <w:rsid w:val="235F129F"/>
    <w:rsid w:val="23F27268"/>
    <w:rsid w:val="252D19D6"/>
    <w:rsid w:val="25A87FB8"/>
    <w:rsid w:val="2D230D73"/>
    <w:rsid w:val="2ED2630E"/>
    <w:rsid w:val="318547A2"/>
    <w:rsid w:val="323F2693"/>
    <w:rsid w:val="330D5B2A"/>
    <w:rsid w:val="34FF5DC8"/>
    <w:rsid w:val="364405EB"/>
    <w:rsid w:val="36817EBB"/>
    <w:rsid w:val="390D4485"/>
    <w:rsid w:val="39CB2D53"/>
    <w:rsid w:val="3A4B4F63"/>
    <w:rsid w:val="3F114200"/>
    <w:rsid w:val="41417945"/>
    <w:rsid w:val="513C3EF8"/>
    <w:rsid w:val="556B3A6A"/>
    <w:rsid w:val="589B3C10"/>
    <w:rsid w:val="5DA113C7"/>
    <w:rsid w:val="603E0EA5"/>
    <w:rsid w:val="607D1710"/>
    <w:rsid w:val="71CE0F14"/>
    <w:rsid w:val="725D12C8"/>
    <w:rsid w:val="76892D68"/>
    <w:rsid w:val="7A2558BE"/>
    <w:rsid w:val="7C7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lang w:val="zh-CN" w:eastAsia="zh-CN" w:bidi="zh-CN"/>
    </w:rPr>
  </w:style>
  <w:style w:type="paragraph" w:styleId="3">
    <w:name w:val="Body Text Indent"/>
    <w:basedOn w:val="1"/>
    <w:uiPriority w:val="0"/>
    <w:pPr>
      <w:spacing w:after="120" w:afterLines="0"/>
      <w:ind w:left="42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uiPriority w:val="0"/>
  </w:style>
  <w:style w:type="paragraph" w:customStyle="1" w:styleId="11">
    <w:name w:val="Table Paragraph"/>
    <w:basedOn w:val="1"/>
    <w:qFormat/>
    <w:uiPriority w:val="1"/>
    <w:pPr>
      <w:ind w:left="64"/>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陈凯</cp:lastModifiedBy>
  <dcterms:modified xsi:type="dcterms:W3CDTF">2020-05-07T02:07:28Z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