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FFFF00"/>
          <w:sz w:val="36"/>
          <w:szCs w:val="36"/>
          <w:u w:val="none"/>
          <w:lang w:val="en-US" w:eastAsia="zh-CN"/>
        </w:rPr>
      </w:pPr>
      <w:r>
        <w:rPr>
          <w:rFonts w:hint="eastAsia" w:ascii="宋体" w:hAnsi="宋体"/>
          <w:b/>
          <w:sz w:val="36"/>
          <w:szCs w:val="36"/>
        </w:rPr>
        <w:t>芜湖新兴铸管</w:t>
      </w:r>
      <w:bookmarkStart w:id="0" w:name="_GoBack"/>
      <w:r>
        <w:rPr>
          <w:rFonts w:hint="eastAsia" w:ascii="宋体" w:hAnsi="宋体"/>
          <w:b/>
          <w:sz w:val="36"/>
          <w:szCs w:val="36"/>
          <w:lang w:val="en-US" w:eastAsia="zh-CN"/>
        </w:rPr>
        <w:t>盘条入库发运项目</w:t>
      </w:r>
      <w:bookmarkEnd w:id="0"/>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05</w:t>
      </w:r>
      <w:r>
        <w:rPr>
          <w:rFonts w:ascii="宋体" w:hAnsi="宋体"/>
          <w:color w:val="000000"/>
        </w:rPr>
        <w:t>月</w:t>
      </w:r>
      <w:r>
        <w:rPr>
          <w:rFonts w:hint="eastAsia" w:ascii="宋体" w:hAnsi="宋体"/>
          <w:color w:val="000000"/>
          <w:lang w:val="en-US" w:eastAsia="zh-CN"/>
        </w:rPr>
        <w:t>15</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YSQC202006003PTRUFY</w:t>
      </w:r>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ascii="宋体" w:hAnsi="宋体"/>
          <w:b/>
          <w:bCs/>
          <w:color w:val="FF0000"/>
          <w:u w:val="none"/>
          <w:lang w:val="en-US" w:eastAsia="zh-CN"/>
        </w:rPr>
        <w:t>盘条入库发运项目</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网上报名者</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，请按要求填写投标报名函，并附上相关资质及业绩，</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widowControl w:val="0"/>
        <w:autoSpaceDE w:val="0"/>
        <w:spacing w:line="240" w:lineRule="auto"/>
        <w:ind w:left="240" w:leftChars="100" w:firstLine="480" w:firstLineChars="200"/>
        <w:jc w:val="both"/>
        <w:rPr>
          <w:rFonts w:hint="eastAsia" w:ascii="宋体" w:hAnsi="宋体" w:cs="宋体"/>
        </w:rPr>
      </w:pPr>
      <w:r>
        <w:rPr>
          <w:rFonts w:hint="eastAsia" w:ascii="宋体" w:hAnsi="宋体" w:cs="宋体"/>
        </w:rPr>
        <w:t>项目业务内容：</w:t>
      </w:r>
    </w:p>
    <w:p>
      <w:pPr>
        <w:numPr>
          <w:ilvl w:val="0"/>
          <w:numId w:val="1"/>
        </w:numPr>
        <w:ind w:left="845" w:leftChars="0" w:hanging="425" w:firstLineChars="0"/>
        <w:jc w:val="both"/>
        <w:rPr>
          <w:rFonts w:hint="eastAsia" w:ascii="宋体" w:hAnsi="宋体"/>
          <w:lang w:val="en-US" w:eastAsia="zh-CN"/>
        </w:rPr>
      </w:pPr>
      <w:r>
        <w:rPr>
          <w:rFonts w:hint="eastAsia" w:ascii="宋体" w:hAnsi="宋体"/>
          <w:lang w:val="en-US" w:eastAsia="zh-CN"/>
        </w:rPr>
        <w:t>轧钢部下线盘条倒运至运输部成品库房（含临时堆存场地），临时用车；运输部成品工段盘条装汽车、装火车倒运、移库倒垛和倒运废钢。</w:t>
      </w:r>
    </w:p>
    <w:p>
      <w:pPr>
        <w:numPr>
          <w:ilvl w:val="0"/>
          <w:numId w:val="1"/>
        </w:numPr>
        <w:ind w:left="845" w:leftChars="0" w:hanging="425" w:firstLineChars="0"/>
        <w:jc w:val="both"/>
        <w:rPr>
          <w:rFonts w:hint="eastAsia" w:ascii="宋体" w:hAnsi="宋体"/>
          <w:lang w:val="en-US" w:eastAsia="zh-CN"/>
        </w:rPr>
      </w:pPr>
      <w:r>
        <w:rPr>
          <w:rFonts w:hint="eastAsia" w:ascii="宋体" w:hAnsi="宋体"/>
          <w:lang w:val="en-US" w:eastAsia="zh-CN"/>
        </w:rPr>
        <w:t>三山港内集港作业，集港作业次数较少，倒运量较少。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人员、车辆要求：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共需要6-8台6吨叉车。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1、必须保证有8部（或以上）6吨叉车，且叉车结构能够满足公司盘条装卸要求(叉车24小时不间断作业，损坏率相对较高，为保证入库、发运连续性，需备有足够的备用叉车)；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2、每班次至少需要安排6部叉车作业，多数情况下6部叉车作业可以保证生产发运需求，但在入库发运量较高时需要增加叉车作业，最高时需要8部叉车作业。</w:t>
      </w:r>
    </w:p>
    <w:p>
      <w:pPr>
        <w:ind w:firstLine="480" w:firstLineChars="200"/>
        <w:jc w:val="both"/>
        <w:rPr>
          <w:rFonts w:hint="default" w:ascii="宋体" w:hAnsi="宋体"/>
          <w:lang w:val="en-US" w:eastAsia="zh-CN"/>
        </w:rPr>
      </w:pPr>
    </w:p>
    <w:p>
      <w:pPr>
        <w:ind w:firstLine="480" w:firstLineChars="200"/>
        <w:jc w:val="both"/>
        <w:rPr>
          <w:rFonts w:hint="eastAsia" w:ascii="宋体" w:hAnsi="宋体"/>
        </w:rPr>
      </w:pPr>
      <w:r>
        <w:rPr>
          <w:rFonts w:hint="eastAsia" w:ascii="宋体" w:hAnsi="宋体"/>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eastAsia" w:ascii="宋体" w:hAnsi="宋体"/>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6</w:t>
      </w:r>
      <w:r>
        <w:rPr>
          <w:rFonts w:ascii="宋体" w:hAnsi="宋体"/>
          <w:b w:val="0"/>
          <w:bCs/>
          <w:color w:val="auto"/>
        </w:rPr>
        <w:t>月</w:t>
      </w:r>
      <w:r>
        <w:rPr>
          <w:rFonts w:hint="eastAsia" w:ascii="宋体" w:hAnsi="宋体"/>
          <w:b w:val="0"/>
          <w:bCs/>
          <w:color w:val="auto"/>
          <w:u w:val="single"/>
          <w:lang w:val="en-US" w:eastAsia="zh-CN"/>
        </w:rPr>
        <w:t>4</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 xml:space="preserve">下午16:30  </w:t>
      </w:r>
      <w:r>
        <w:rPr>
          <w:rFonts w:hint="eastAsia" w:ascii="宋体" w:hAnsi="宋体"/>
          <w:b w:val="0"/>
          <w:bCs/>
          <w:color w:val="auto"/>
          <w:u w:val="single"/>
        </w:rPr>
        <w:t xml:space="preserve"> </w:t>
      </w:r>
      <w:r>
        <w:rPr>
          <w:rFonts w:hint="eastAsia" w:ascii="宋体" w:hAnsi="宋体"/>
          <w:b w:val="0"/>
          <w:bCs/>
          <w:color w:val="auto"/>
        </w:rPr>
        <w:t>逾期不报名者将不允许参加招标。</w:t>
      </w:r>
    </w:p>
    <w:p>
      <w:pPr>
        <w:spacing w:line="300" w:lineRule="auto"/>
        <w:ind w:firstLine="600"/>
        <w:rPr>
          <w:rFonts w:hint="eastAsia" w:ascii="宋体" w:hAnsi="宋体"/>
          <w:b/>
          <w:color w:val="000000"/>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 xml:space="preserve"> 6</w:t>
      </w:r>
      <w:r>
        <w:rPr>
          <w:rFonts w:ascii="宋体" w:hAnsi="宋体"/>
          <w:b w:val="0"/>
          <w:bCs/>
          <w:color w:val="auto"/>
        </w:rPr>
        <w:t>月</w:t>
      </w:r>
      <w:r>
        <w:rPr>
          <w:rFonts w:hint="eastAsia" w:ascii="宋体" w:hAnsi="宋体"/>
          <w:b w:val="0"/>
          <w:bCs/>
          <w:color w:val="auto"/>
          <w:u w:val="single"/>
          <w:lang w:val="en-US" w:eastAsia="zh-CN"/>
        </w:rPr>
        <w:t>9</w:t>
      </w:r>
      <w:r>
        <w:rPr>
          <w:rFonts w:ascii="宋体" w:hAnsi="宋体"/>
          <w:b w:val="0"/>
          <w:bCs/>
          <w:color w:val="auto"/>
        </w:rPr>
        <w:t>日</w:t>
      </w:r>
      <w:r>
        <w:rPr>
          <w:rFonts w:hint="eastAsia" w:ascii="宋体" w:hAnsi="宋体"/>
          <w:b w:val="0"/>
          <w:bCs/>
          <w:color w:val="auto"/>
          <w:u w:val="single"/>
          <w:lang w:val="en-US" w:eastAsia="zh-CN"/>
        </w:rPr>
        <w:t>9:30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2"/>
        </w:numPr>
        <w:spacing w:line="240" w:lineRule="auto"/>
        <w:jc w:val="both"/>
        <w:rPr>
          <w:rFonts w:ascii="宋体" w:hAnsi="宋体"/>
          <w:b/>
        </w:rPr>
      </w:pPr>
      <w:r>
        <w:rPr>
          <w:rFonts w:hint="eastAsia" w:ascii="宋体" w:hAnsi="宋体"/>
          <w:b/>
        </w:rPr>
        <w:t>一般要求</w:t>
      </w:r>
    </w:p>
    <w:p>
      <w:pPr>
        <w:pStyle w:val="3"/>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2"/>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贰万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6</w:t>
      </w:r>
      <w:r>
        <w:rPr>
          <w:rFonts w:hint="eastAsia" w:ascii="宋体" w:hAnsi="宋体"/>
          <w:bCs/>
          <w:color w:val="7030A0"/>
        </w:rPr>
        <w:t>月</w:t>
      </w:r>
      <w:r>
        <w:rPr>
          <w:rFonts w:hint="eastAsia" w:ascii="宋体" w:hAnsi="宋体"/>
          <w:bCs/>
          <w:color w:val="7030A0"/>
          <w:u w:val="single"/>
          <w:lang w:val="en-US" w:eastAsia="zh-CN"/>
        </w:rPr>
        <w:t>4</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缴纳此费用（否则视为自动放弃投标资格），注明投标保证金。如未中标，发包人将会无息退还此费用(60日内)，如中标，则此款项自动转为履约保证金。</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spacing w:line="240" w:lineRule="auto"/>
        <w:ind w:firstLine="482" w:firstLineChars="200"/>
        <w:rPr>
          <w:rFonts w:hint="default" w:ascii="宋体" w:hAnsi="宋体" w:eastAsia="宋体"/>
          <w:b/>
          <w:bCs w:val="0"/>
          <w:lang w:val="en-US" w:eastAsia="zh-CN"/>
        </w:rPr>
      </w:pPr>
      <w:r>
        <w:rPr>
          <w:rFonts w:hint="eastAsia" w:ascii="宋体" w:hAnsi="宋体"/>
          <w:b/>
          <w:bCs w:val="0"/>
          <w:lang w:val="en-US" w:eastAsia="zh-CN"/>
        </w:rPr>
        <w:t>中标单位需缴纳60万元安全履约保障金。</w:t>
      </w:r>
    </w:p>
    <w:p>
      <w:pPr>
        <w:widowControl w:val="0"/>
        <w:numPr>
          <w:ilvl w:val="0"/>
          <w:numId w:val="2"/>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2"/>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2"/>
        </w:numPr>
        <w:spacing w:line="240" w:lineRule="auto"/>
        <w:jc w:val="both"/>
        <w:rPr>
          <w:rFonts w:ascii="宋体" w:hAnsi="宋体"/>
          <w:b/>
        </w:rPr>
      </w:pPr>
      <w:r>
        <w:rPr>
          <w:rFonts w:hint="eastAsia" w:ascii="宋体" w:hAnsi="宋体"/>
          <w:b/>
        </w:rPr>
        <w:t>投标人要求</w:t>
      </w:r>
    </w:p>
    <w:p>
      <w:pPr>
        <w:widowControl w:val="0"/>
        <w:numPr>
          <w:ilvl w:val="0"/>
          <w:numId w:val="3"/>
        </w:numPr>
        <w:spacing w:line="240" w:lineRule="auto"/>
        <w:ind w:left="285" w:leftChars="0"/>
        <w:jc w:val="both"/>
        <w:rPr>
          <w:rFonts w:ascii="宋体" w:hAnsi="宋体"/>
        </w:rPr>
      </w:pPr>
      <w:r>
        <w:rPr>
          <w:rFonts w:hint="eastAsia" w:ascii="宋体" w:hAnsi="宋体"/>
        </w:rPr>
        <w:t>合格的投标人应具有圆满履行合同的能力，具体应符合下列条件：</w:t>
      </w:r>
    </w:p>
    <w:p>
      <w:pPr>
        <w:widowControl w:val="0"/>
        <w:numPr>
          <w:ilvl w:val="0"/>
          <w:numId w:val="4"/>
        </w:numPr>
        <w:tabs>
          <w:tab w:val="left" w:pos="1125"/>
        </w:tabs>
        <w:spacing w:line="240" w:lineRule="auto"/>
        <w:ind w:left="1265" w:leftChars="0" w:hanging="425" w:firstLineChars="0"/>
        <w:jc w:val="both"/>
        <w:rPr>
          <w:rFonts w:ascii="宋体" w:hAnsi="宋体"/>
        </w:rPr>
      </w:pPr>
      <w:r>
        <w:rPr>
          <w:rFonts w:hint="eastAsia" w:ascii="宋体" w:hAnsi="宋体"/>
        </w:rPr>
        <w:t>具有独立订立合同的权利。</w:t>
      </w:r>
    </w:p>
    <w:p>
      <w:pPr>
        <w:widowControl w:val="0"/>
        <w:numPr>
          <w:ilvl w:val="0"/>
          <w:numId w:val="4"/>
        </w:numPr>
        <w:tabs>
          <w:tab w:val="left" w:pos="1125"/>
        </w:tabs>
        <w:spacing w:line="240" w:lineRule="auto"/>
        <w:ind w:left="1265" w:leftChars="0" w:hanging="425" w:firstLineChars="0"/>
        <w:jc w:val="both"/>
        <w:rPr>
          <w:rFonts w:hint="eastAsia" w:ascii="宋体" w:hAnsi="宋体"/>
          <w:color w:val="FF0000"/>
        </w:rPr>
      </w:pPr>
      <w:r>
        <w:rPr>
          <w:rFonts w:hint="eastAsia" w:ascii="宋体" w:hAnsi="宋体"/>
        </w:rPr>
        <w:t>必须有</w:t>
      </w:r>
      <w:r>
        <w:rPr>
          <w:rFonts w:hint="eastAsia" w:ascii="宋体" w:hAnsi="宋体"/>
          <w:lang w:val="en-US" w:eastAsia="zh-CN"/>
        </w:rPr>
        <w:t>履约</w:t>
      </w:r>
      <w:r>
        <w:rPr>
          <w:rFonts w:hint="eastAsia" w:ascii="宋体" w:hAnsi="宋体"/>
        </w:rPr>
        <w:t>能力和一定垫资能力。</w:t>
      </w:r>
    </w:p>
    <w:p>
      <w:pPr>
        <w:widowControl w:val="0"/>
        <w:numPr>
          <w:ilvl w:val="0"/>
          <w:numId w:val="4"/>
        </w:numPr>
        <w:tabs>
          <w:tab w:val="left" w:pos="1125"/>
        </w:tabs>
        <w:spacing w:line="240" w:lineRule="auto"/>
        <w:ind w:left="1265" w:leftChars="0" w:hanging="425" w:firstLineChars="0"/>
        <w:jc w:val="both"/>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4"/>
        </w:numPr>
        <w:spacing w:line="240" w:lineRule="auto"/>
        <w:ind w:left="1265" w:leftChars="0" w:hanging="425" w:firstLineChars="0"/>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3"/>
        </w:numPr>
        <w:tabs>
          <w:tab w:val="left" w:pos="705"/>
        </w:tabs>
        <w:spacing w:line="240" w:lineRule="auto"/>
        <w:ind w:left="285" w:leftChars="0" w:firstLine="0" w:firstLineChars="0"/>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spacing w:line="240" w:lineRule="auto"/>
        <w:ind w:left="420" w:firstLine="60" w:firstLineChars="25"/>
        <w:jc w:val="both"/>
        <w:rPr>
          <w:rFonts w:hint="eastAsia" w:ascii="宋体" w:hAnsi="宋体"/>
        </w:rPr>
      </w:pPr>
      <w:r>
        <w:rPr>
          <w:rFonts w:hint="eastAsia" w:ascii="宋体" w:hAnsi="宋体"/>
        </w:rPr>
        <w:t>(1)商务文件：</w:t>
      </w:r>
    </w:p>
    <w:p>
      <w:pPr>
        <w:widowControl w:val="0"/>
        <w:numPr>
          <w:ilvl w:val="0"/>
          <w:numId w:val="5"/>
        </w:numPr>
        <w:spacing w:line="240" w:lineRule="auto"/>
        <w:ind w:firstLine="120"/>
        <w:jc w:val="both"/>
        <w:rPr>
          <w:rFonts w:hint="eastAsia" w:ascii="宋体" w:hAnsi="宋体"/>
        </w:rPr>
      </w:pPr>
      <w:r>
        <w:rPr>
          <w:rFonts w:hint="eastAsia" w:ascii="宋体" w:hAnsi="宋体"/>
        </w:rPr>
        <w:t>投标人法定代表人授权及授权代表身份证复印件。</w:t>
      </w:r>
    </w:p>
    <w:p>
      <w:pPr>
        <w:widowControl w:val="0"/>
        <w:numPr>
          <w:ilvl w:val="0"/>
          <w:numId w:val="5"/>
        </w:numPr>
        <w:spacing w:line="240" w:lineRule="auto"/>
        <w:ind w:firstLine="120"/>
        <w:jc w:val="both"/>
        <w:rPr>
          <w:rFonts w:ascii="宋体" w:hAnsi="宋体"/>
        </w:rPr>
      </w:pPr>
      <w:r>
        <w:rPr>
          <w:rFonts w:hint="eastAsia" w:ascii="宋体" w:hAnsi="宋体"/>
        </w:rPr>
        <w:t>近几年内与此项目相关的业绩合同。</w:t>
      </w:r>
    </w:p>
    <w:p>
      <w:pPr>
        <w:widowControl w:val="0"/>
        <w:numPr>
          <w:ilvl w:val="0"/>
          <w:numId w:val="5"/>
        </w:numPr>
        <w:spacing w:line="240" w:lineRule="auto"/>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numPr>
          <w:ilvl w:val="0"/>
          <w:numId w:val="5"/>
        </w:numPr>
        <w:spacing w:line="240" w:lineRule="auto"/>
        <w:ind w:firstLine="120"/>
        <w:jc w:val="both"/>
        <w:rPr>
          <w:rFonts w:hint="eastAsia" w:ascii="宋体" w:hAnsi="宋体"/>
          <w:bCs/>
          <w:color w:val="000000"/>
        </w:rPr>
      </w:pPr>
      <w:r>
        <w:rPr>
          <w:rFonts w:hint="eastAsia" w:ascii="宋体" w:hAnsi="宋体"/>
        </w:rPr>
        <w:t>企业法人营业执照及企业通过的相关体系认证文件等。</w:t>
      </w:r>
    </w:p>
    <w:p>
      <w:pPr>
        <w:widowControl w:val="0"/>
        <w:spacing w:line="240" w:lineRule="auto"/>
        <w:ind w:left="480"/>
        <w:jc w:val="both"/>
        <w:rPr>
          <w:rFonts w:hint="eastAsia" w:ascii="宋体" w:hAnsi="宋体"/>
          <w:bCs/>
          <w:color w:val="000000"/>
        </w:rPr>
      </w:pPr>
      <w:r>
        <w:rPr>
          <w:rFonts w:hint="eastAsia" w:ascii="宋体" w:hAnsi="宋体"/>
          <w:bCs/>
          <w:color w:val="000000"/>
        </w:rPr>
        <w:t>(2)技术文件：包括投标方案及其说明等。</w:t>
      </w:r>
    </w:p>
    <w:p>
      <w:pPr>
        <w:widowControl w:val="0"/>
        <w:spacing w:line="240" w:lineRule="auto"/>
        <w:ind w:left="480"/>
        <w:jc w:val="both"/>
        <w:rPr>
          <w:rFonts w:ascii="宋体" w:hAnsi="宋体"/>
          <w:bCs/>
          <w:color w:val="000000"/>
        </w:rPr>
      </w:pPr>
      <w:r>
        <w:rPr>
          <w:rFonts w:hint="eastAsia" w:ascii="宋体" w:hAnsi="宋体"/>
          <w:bCs/>
          <w:color w:val="000000"/>
        </w:rPr>
        <w:t>(3)价格文件：一份即可，必须单独密封。投标人必须填写投标报价表；</w:t>
      </w:r>
    </w:p>
    <w:p>
      <w:pPr>
        <w:widowControl w:val="0"/>
        <w:spacing w:line="240" w:lineRule="auto"/>
        <w:ind w:left="480"/>
        <w:jc w:val="both"/>
        <w:rPr>
          <w:rFonts w:ascii="宋体" w:hAnsi="宋体"/>
          <w:color w:val="000000"/>
        </w:rPr>
      </w:pPr>
      <w:r>
        <w:rPr>
          <w:rFonts w:hint="eastAsia" w:ascii="宋体" w:hAnsi="宋体"/>
          <w:color w:val="000000"/>
        </w:rPr>
        <w:t>(4)其它文件：包括商务、技术或不满足招标文件的差异说明，招标文件要求具备的其他内容，以及投标人额外承诺或补充说明等。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6"/>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6"/>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0"/>
        <w:numPr>
          <w:ilvl w:val="0"/>
          <w:numId w:val="7"/>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0"/>
        <w:numPr>
          <w:ilvl w:val="0"/>
          <w:numId w:val="7"/>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8"/>
        </w:numPr>
        <w:spacing w:line="240" w:lineRule="auto"/>
        <w:ind w:left="0" w:leftChars="0" w:firstLine="480" w:firstLineChars="200"/>
        <w:rPr>
          <w:rFonts w:ascii="宋体" w:hAnsi="宋体"/>
        </w:rPr>
      </w:pPr>
      <w:r>
        <w:rPr>
          <w:rFonts w:ascii="宋体" w:hAnsi="宋体"/>
        </w:rPr>
        <w:t>投标文件有密封与标记</w:t>
      </w:r>
    </w:p>
    <w:p>
      <w:pPr>
        <w:numPr>
          <w:ilvl w:val="0"/>
          <w:numId w:val="8"/>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8"/>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8"/>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9"/>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9"/>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9"/>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9"/>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9"/>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9"/>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9"/>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9"/>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9"/>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9"/>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9"/>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9"/>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、评标标准</w:t>
      </w:r>
    </w:p>
    <w:p>
      <w:pPr>
        <w:numPr>
          <w:ilvl w:val="0"/>
          <w:numId w:val="10"/>
        </w:numPr>
        <w:spacing w:line="240" w:lineRule="auto"/>
        <w:ind w:left="845" w:leftChars="0" w:hanging="425" w:firstLineChars="0"/>
        <w:rPr>
          <w:rFonts w:hint="eastAsia"/>
          <w:color w:val="auto"/>
          <w:sz w:val="24"/>
          <w:szCs w:val="24"/>
        </w:rPr>
      </w:pPr>
      <w:r>
        <w:rPr>
          <w:rFonts w:hint="eastAsia"/>
          <w:color w:val="auto"/>
          <w:sz w:val="24"/>
          <w:szCs w:val="24"/>
        </w:rPr>
        <w:t>由评标委员会评分，按分数从高到低顺序推荐中标候选单位。</w:t>
      </w:r>
    </w:p>
    <w:p>
      <w:pPr>
        <w:numPr>
          <w:ilvl w:val="0"/>
          <w:numId w:val="10"/>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10"/>
        </w:numPr>
        <w:spacing w:line="240" w:lineRule="auto"/>
        <w:ind w:left="845" w:leftChars="0" w:hanging="425"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本次招标采用一次报价开标。</w:t>
      </w:r>
    </w:p>
    <w:p>
      <w:pPr>
        <w:numPr>
          <w:ilvl w:val="0"/>
          <w:numId w:val="10"/>
        </w:numPr>
        <w:spacing w:line="240" w:lineRule="auto"/>
        <w:ind w:left="845" w:leftChars="0" w:hanging="425" w:firstLineChars="0"/>
        <w:rPr>
          <w:color w:val="0000FF"/>
          <w:sz w:val="24"/>
          <w:szCs w:val="24"/>
        </w:rPr>
      </w:pPr>
      <w:r>
        <w:rPr>
          <w:rFonts w:hint="eastAsia"/>
          <w:color w:val="auto"/>
          <w:sz w:val="24"/>
          <w:szCs w:val="24"/>
        </w:rPr>
        <w:t>评分标准：</w:t>
      </w:r>
      <w:r>
        <w:rPr>
          <w:rFonts w:hint="eastAsia"/>
          <w:color w:val="auto"/>
          <w:sz w:val="24"/>
          <w:szCs w:val="24"/>
          <w:lang w:val="en-US" w:eastAsia="zh-CN"/>
        </w:rPr>
        <w:t>价格70分，及时率20分，业绩5分，企业信誉5分</w:t>
      </w:r>
      <w:r>
        <w:rPr>
          <w:rFonts w:hint="eastAsia"/>
          <w:color w:val="auto"/>
          <w:sz w:val="24"/>
          <w:szCs w:val="24"/>
        </w:rPr>
        <w:t>。</w:t>
      </w:r>
    </w:p>
    <w:p>
      <w:pPr>
        <w:spacing w:line="240" w:lineRule="auto"/>
        <w:rPr>
          <w:rFonts w:hint="default" w:eastAsia="宋体"/>
          <w:b/>
          <w:color w:val="auto"/>
          <w:sz w:val="24"/>
          <w:szCs w:val="24"/>
          <w:lang w:val="en-US" w:eastAsia="zh-CN"/>
        </w:rPr>
      </w:pPr>
      <w:r>
        <w:rPr>
          <w:rFonts w:hint="eastAsia"/>
          <w:b/>
          <w:color w:val="0000FF"/>
          <w:sz w:val="24"/>
          <w:szCs w:val="24"/>
        </w:rPr>
        <w:t>十</w:t>
      </w:r>
      <w:r>
        <w:rPr>
          <w:rFonts w:hint="eastAsia"/>
          <w:b/>
          <w:color w:val="0000FF"/>
          <w:sz w:val="24"/>
          <w:szCs w:val="24"/>
          <w:lang w:val="en-US" w:eastAsia="zh-CN"/>
        </w:rPr>
        <w:t>三</w:t>
      </w:r>
      <w:r>
        <w:rPr>
          <w:rFonts w:hint="eastAsia"/>
          <w:b/>
          <w:color w:val="0000FF"/>
          <w:sz w:val="24"/>
          <w:szCs w:val="24"/>
        </w:rPr>
        <w:t>、其他要求</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1、承揽单位应具备独立承担安全事故风险的经济实力,须按我公司《相关方及外用工（单位）安全管理制度》规定办理相关手续，缴纳安全保障金60万，为员工购买工伤保险，满 55 周岁的人员不得进入我公司从事作业活动。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2、承揽单位叉车不少于8部，应经过相关部门检验合格方可作业。叉车24小时不间断作业，损坏率相对较高，为保证入库、发运连续性，承揽单位应做好叉车维保工作，确保用车需求。</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3、承揽单位必须具备24小时承揽服务能力，配备足够作业人员，合理安排班次，作业人员不得疲劳作业，班次调整时不得连续24小时作业；作业人员须持有国家相关部门核发的有效证件。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both"/>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4、正常情况下每班次作业叉车6部即可满足生产用车要求。作业量增加时，承揽单位应在接到成品工段通知后及时增加叉车作业，最多需要8部叉车作业。作业量较少时，承揽单位如需减少作业叉车，必须经过成品工段同意。</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5、承揽单位在合同履行中，必须遵守我公司的安全、生产、环保、质量、现场、车辆交通等规章制度。如违反相关规章制度，我公司将依据规章制度要求给予考核。</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6、合同履约保证金为5万元。合同执行期结束，经双方确认无合同纠纷后，我公司退还承揽单位履约保证金（无息）；若存在尚未解决合同争端，履约保证金的有效期将延长到上述争端最终解决且所有理赔完毕。</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both"/>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7、合同期限：2020年6月28日至2020年12月29日。</w:t>
      </w: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default" w:ascii="宋体" w:hAnsi="宋体"/>
          <w:b/>
          <w:color w:val="auto"/>
          <w:sz w:val="24"/>
          <w:szCs w:val="24"/>
          <w:lang w:val="en-US" w:eastAsia="zh-CN"/>
        </w:rPr>
      </w:pPr>
      <w:r>
        <w:rPr>
          <w:rFonts w:hint="eastAsia" w:ascii="宋体" w:hAnsi="宋体"/>
          <w:b/>
          <w:color w:val="auto"/>
          <w:sz w:val="24"/>
          <w:szCs w:val="24"/>
          <w:lang w:val="en-US" w:eastAsia="zh-CN"/>
        </w:rPr>
        <w:t>十四、报价表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不含税报价（适用税率</w:t>
      </w:r>
      <w:r>
        <w:rPr>
          <w:rFonts w:hint="eastAsia" w:ascii="宋体" w:hAnsi="宋体"/>
          <w:sz w:val="24"/>
          <w:szCs w:val="24"/>
          <w:u w:val="single"/>
          <w:lang w:val="en-US" w:eastAsia="zh-CN"/>
        </w:rPr>
        <w:t xml:space="preserve">    </w:t>
      </w:r>
      <w:r>
        <w:rPr>
          <w:rFonts w:hint="eastAsia" w:ascii="宋体" w:hAnsi="宋体"/>
          <w:sz w:val="24"/>
          <w:szCs w:val="24"/>
          <w:lang w:val="en-US" w:eastAsia="zh-CN"/>
        </w:rPr>
        <w:t>）</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934"/>
        <w:gridCol w:w="981"/>
        <w:gridCol w:w="2805"/>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9" w:hRule="atLeast"/>
          <w:jc w:val="center"/>
        </w:trPr>
        <w:tc>
          <w:tcPr>
            <w:tcW w:w="75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ind w:left="0" w:leftChars="0" w:right="0" w:rightChars="0"/>
              <w:jc w:val="center"/>
              <w:textAlignment w:val="center"/>
              <w:outlineLvl w:val="9"/>
              <w:rPr>
                <w:rFonts w:hint="default" w:ascii="宋体" w:hAnsi="宋体" w:eastAsia="宋体"/>
                <w:b w:val="0"/>
                <w:bCs/>
                <w:i w:val="0"/>
                <w:snapToGrid/>
                <w:color w:val="000000"/>
                <w:sz w:val="24"/>
                <w:szCs w:val="24"/>
                <w:u w:val="none"/>
                <w:lang w:eastAsia="zh-CN"/>
              </w:rPr>
            </w:pPr>
            <w:r>
              <w:rPr>
                <w:rFonts w:hint="eastAsia" w:ascii="宋体" w:hAnsi="宋体"/>
                <w:b w:val="0"/>
                <w:bCs/>
                <w:i w:val="0"/>
                <w:snapToGrid/>
                <w:color w:val="000000"/>
                <w:sz w:val="24"/>
                <w:szCs w:val="24"/>
                <w:u w:val="none"/>
                <w:lang w:eastAsia="zh-CN"/>
              </w:rPr>
              <w:t>序号</w:t>
            </w:r>
          </w:p>
        </w:tc>
        <w:tc>
          <w:tcPr>
            <w:tcW w:w="293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ind w:left="0" w:leftChars="0" w:right="0" w:rightChars="0"/>
              <w:jc w:val="center"/>
              <w:textAlignment w:val="center"/>
              <w:outlineLvl w:val="9"/>
              <w:rPr>
                <w:sz w:val="24"/>
                <w:szCs w:val="24"/>
              </w:rPr>
            </w:pPr>
            <w:r>
              <w:rPr>
                <w:rFonts w:hint="default" w:ascii="宋体" w:hAnsi="宋体" w:eastAsia="宋体"/>
                <w:b w:val="0"/>
                <w:bCs/>
                <w:i w:val="0"/>
                <w:snapToGrid/>
                <w:color w:val="000000"/>
                <w:sz w:val="24"/>
                <w:szCs w:val="24"/>
                <w:u w:val="none"/>
                <w:lang w:eastAsia="zh-CN"/>
              </w:rPr>
              <w:t>项目</w:t>
            </w:r>
          </w:p>
        </w:tc>
        <w:tc>
          <w:tcPr>
            <w:tcW w:w="98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ind w:left="0" w:leftChars="0" w:right="0" w:rightChars="0"/>
              <w:jc w:val="center"/>
              <w:textAlignment w:val="center"/>
              <w:outlineLvl w:val="9"/>
              <w:rPr>
                <w:sz w:val="24"/>
                <w:szCs w:val="24"/>
              </w:rPr>
            </w:pPr>
            <w:r>
              <w:rPr>
                <w:rFonts w:hint="default" w:ascii="宋体" w:hAnsi="宋体" w:eastAsia="宋体"/>
                <w:b w:val="0"/>
                <w:bCs/>
                <w:i w:val="0"/>
                <w:snapToGrid/>
                <w:color w:val="000000"/>
                <w:sz w:val="24"/>
                <w:szCs w:val="24"/>
                <w:u w:val="none"/>
                <w:lang w:eastAsia="zh-CN"/>
              </w:rPr>
              <w:t>车型</w:t>
            </w:r>
          </w:p>
        </w:tc>
        <w:tc>
          <w:tcPr>
            <w:tcW w:w="28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结算方式</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 xml:space="preserve">单价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元/吨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753" w:type="dxa"/>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rFonts w:hint="eastAsia" w:ascii="宋体" w:hAnsi="宋体" w:eastAsia="宋体" w:cs="宋体"/>
                <w:b w:val="0"/>
                <w:bCs/>
                <w:kern w:val="0"/>
                <w:sz w:val="24"/>
                <w:szCs w:val="24"/>
                <w:lang w:val="en-US" w:eastAsia="zh-CN" w:bidi="ar"/>
              </w:rPr>
            </w:pPr>
            <w:r>
              <w:rPr>
                <w:rFonts w:hint="eastAsia" w:ascii="宋体" w:hAnsi="宋体" w:cs="宋体"/>
                <w:b w:val="0"/>
                <w:bCs/>
                <w:kern w:val="0"/>
                <w:sz w:val="24"/>
                <w:szCs w:val="24"/>
                <w:lang w:val="en-US" w:eastAsia="zh-CN" w:bidi="ar"/>
              </w:rPr>
              <w:t>1</w:t>
            </w:r>
          </w:p>
        </w:tc>
        <w:tc>
          <w:tcPr>
            <w:tcW w:w="293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firstLine="480" w:firstLineChars="200"/>
              <w:jc w:val="both"/>
              <w:textAlignment w:val="center"/>
              <w:outlineLvl w:val="9"/>
              <w:rPr>
                <w:sz w:val="24"/>
                <w:szCs w:val="24"/>
              </w:rPr>
            </w:pPr>
            <w:r>
              <w:rPr>
                <w:rFonts w:hint="eastAsia"/>
                <w:sz w:val="24"/>
                <w:szCs w:val="24"/>
              </w:rPr>
              <w:t>轧钢部下线盘条倒运至运输部成品库房（含临时堆存场地），临时用车；运输部成品工段盘条装汽车、装火车倒运、移库倒垛和倒运废钢。</w:t>
            </w:r>
          </w:p>
        </w:tc>
        <w:tc>
          <w:tcPr>
            <w:tcW w:w="981" w:type="dxa"/>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6吨</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叉车</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6-8部</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sz w:val="24"/>
                <w:szCs w:val="24"/>
              </w:rPr>
            </w:pPr>
          </w:p>
        </w:tc>
        <w:tc>
          <w:tcPr>
            <w:tcW w:w="28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kern w:val="0"/>
                <w:sz w:val="24"/>
                <w:szCs w:val="24"/>
                <w:lang w:val="en-US" w:eastAsia="zh-CN" w:bidi="ar"/>
              </w:rPr>
            </w:pPr>
            <w:r>
              <w:rPr>
                <w:rFonts w:hint="eastAsia" w:ascii="宋体" w:hAnsi="宋体" w:eastAsia="宋体" w:cs="宋体"/>
                <w:b w:val="0"/>
                <w:bCs/>
                <w:kern w:val="0"/>
                <w:sz w:val="24"/>
                <w:szCs w:val="24"/>
                <w:lang w:val="en-US" w:eastAsia="zh-CN" w:bidi="ar"/>
              </w:rPr>
              <w:t>结算费用=倒运量*单价</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宋体" w:hAnsi="宋体" w:eastAsia="宋体" w:cs="宋体"/>
                <w:b w:val="0"/>
                <w:bCs/>
                <w:kern w:val="0"/>
                <w:sz w:val="24"/>
                <w:szCs w:val="24"/>
                <w:lang w:val="en-US" w:eastAsia="zh-CN" w:bidi="ar"/>
              </w:rPr>
            </w:pPr>
            <w:r>
              <w:rPr>
                <w:rFonts w:hint="eastAsia" w:ascii="宋体" w:hAnsi="宋体" w:cs="宋体"/>
                <w:b w:val="0"/>
                <w:bCs/>
                <w:kern w:val="0"/>
                <w:sz w:val="24"/>
                <w:szCs w:val="24"/>
                <w:lang w:val="en-US" w:eastAsia="zh-CN" w:bidi="ar"/>
              </w:rPr>
              <w:t>倒运量约23万吨/月</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2</w:t>
            </w:r>
          </w:p>
        </w:tc>
        <w:tc>
          <w:tcPr>
            <w:tcW w:w="2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集港作业</w:t>
            </w:r>
          </w:p>
        </w:tc>
        <w:tc>
          <w:tcPr>
            <w:tcW w:w="981" w:type="dxa"/>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sz w:val="24"/>
                <w:szCs w:val="24"/>
              </w:rPr>
            </w:pPr>
            <w:r>
              <w:rPr>
                <w:rFonts w:hint="eastAsia" w:ascii="宋体" w:hAnsi="宋体" w:eastAsia="宋体" w:cs="宋体"/>
                <w:i w:val="0"/>
                <w:color w:val="000000"/>
                <w:kern w:val="0"/>
                <w:sz w:val="24"/>
                <w:szCs w:val="24"/>
                <w:u w:val="none"/>
                <w:lang w:val="en-US" w:eastAsia="zh-CN" w:bidi="ar"/>
              </w:rPr>
              <w:t>6吨</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叉车</w:t>
            </w:r>
          </w:p>
        </w:tc>
        <w:tc>
          <w:tcPr>
            <w:tcW w:w="280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cs="宋体"/>
                <w:b w:val="0"/>
                <w:bCs/>
                <w:kern w:val="0"/>
                <w:sz w:val="24"/>
                <w:szCs w:val="24"/>
                <w:lang w:val="en-US" w:eastAsia="zh-CN" w:bidi="ar"/>
              </w:rPr>
            </w:pPr>
            <w:r>
              <w:rPr>
                <w:rFonts w:hint="eastAsia" w:ascii="宋体" w:hAnsi="宋体" w:cs="宋体"/>
                <w:b w:val="0"/>
                <w:bCs/>
                <w:kern w:val="0"/>
                <w:sz w:val="24"/>
                <w:szCs w:val="24"/>
                <w:lang w:val="en-US" w:eastAsia="zh-CN" w:bidi="ar"/>
              </w:rPr>
              <w:t>结算费用=倒运量*单价</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宋体" w:hAnsi="宋体" w:cs="宋体"/>
                <w:b w:val="0"/>
                <w:bCs/>
                <w:kern w:val="0"/>
                <w:sz w:val="24"/>
                <w:szCs w:val="24"/>
                <w:lang w:val="en-US" w:eastAsia="zh-CN" w:bidi="ar"/>
              </w:rPr>
            </w:pPr>
            <w:r>
              <w:rPr>
                <w:rFonts w:hint="eastAsia" w:ascii="宋体" w:hAnsi="宋体" w:cs="宋体"/>
                <w:b w:val="0"/>
                <w:bCs/>
                <w:kern w:val="0"/>
                <w:sz w:val="24"/>
                <w:szCs w:val="24"/>
                <w:lang w:val="en-US" w:eastAsia="zh-CN" w:bidi="ar"/>
              </w:rPr>
              <w:t>倒运量约1500吨/月</w:t>
            </w:r>
          </w:p>
        </w:tc>
        <w:tc>
          <w:tcPr>
            <w:tcW w:w="1127" w:type="dxa"/>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sz w:val="24"/>
                <w:szCs w:val="24"/>
                <w:vertAlign w:val="baseline"/>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备注：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480" w:firstLineChars="20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1、入库倒运量依据公司报表高线车间生产量，装汽车发运、装火车倒运量依据公司报表发运数据，其他作业倒运量根据倒运盘螺盘圆的理论吨位结算。</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2、集港作业倒运量依据公司报表。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center"/>
        <w:outlineLvl w:val="9"/>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3、次月付款 （承兑汇票）。</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单位：</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日期：</w:t>
      </w: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hint="eastAsia" w:ascii="宋体" w:hAnsi="宋体"/>
          <w:b/>
          <w:bCs/>
          <w:u w:val="single"/>
        </w:rP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5</w:t>
      </w:r>
      <w:r>
        <w:rPr>
          <w:rFonts w:ascii="宋体" w:hAnsi="宋体"/>
          <w:color w:val="auto"/>
          <w:sz w:val="24"/>
          <w:szCs w:val="24"/>
        </w:rPr>
        <w:t>月</w:t>
      </w:r>
      <w:r>
        <w:rPr>
          <w:rFonts w:hint="eastAsia" w:ascii="宋体" w:hAnsi="宋体"/>
          <w:color w:val="auto"/>
          <w:sz w:val="24"/>
          <w:szCs w:val="24"/>
          <w:lang w:val="en-US" w:eastAsia="zh-CN"/>
        </w:rPr>
        <w:t>15</w:t>
      </w:r>
      <w:r>
        <w:rPr>
          <w:rFonts w:ascii="宋体" w:hAnsi="宋体"/>
          <w:color w:val="auto"/>
          <w:sz w:val="24"/>
          <w:szCs w:val="24"/>
        </w:rP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B016B801"/>
    <w:multiLevelType w:val="singleLevel"/>
    <w:tmpl w:val="B016B801"/>
    <w:lvl w:ilvl="0" w:tentative="0">
      <w:start w:val="1"/>
      <w:numFmt w:val="decimal"/>
      <w:lvlText w:val="(%1)"/>
      <w:lvlJc w:val="left"/>
      <w:pPr>
        <w:ind w:left="425" w:hanging="425"/>
      </w:pPr>
      <w:rPr>
        <w:rFonts w:hint="default"/>
      </w:rPr>
    </w:lvl>
  </w:abstractNum>
  <w:abstractNum w:abstractNumId="3">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4">
    <w:nsid w:val="E875C736"/>
    <w:multiLevelType w:val="singleLevel"/>
    <w:tmpl w:val="E875C736"/>
    <w:lvl w:ilvl="0" w:tentative="0">
      <w:start w:val="1"/>
      <w:numFmt w:val="decimal"/>
      <w:lvlText w:val="%1."/>
      <w:lvlJc w:val="left"/>
      <w:pPr>
        <w:ind w:left="425" w:hanging="425"/>
      </w:pPr>
      <w:rPr>
        <w:rFonts w:hint="default"/>
      </w:rPr>
    </w:lvl>
  </w:abstractNum>
  <w:abstractNum w:abstractNumId="5">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6">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4C2AC38A"/>
    <w:multiLevelType w:val="singleLevel"/>
    <w:tmpl w:val="4C2AC38A"/>
    <w:lvl w:ilvl="0" w:tentative="0">
      <w:start w:val="1"/>
      <w:numFmt w:val="decimal"/>
      <w:suff w:val="space"/>
      <w:lvlText w:val="%1."/>
      <w:lvlJc w:val="left"/>
    </w:lvl>
  </w:abstractNum>
  <w:abstractNum w:abstractNumId="8">
    <w:nsid w:val="6A18A551"/>
    <w:multiLevelType w:val="singleLevel"/>
    <w:tmpl w:val="6A18A551"/>
    <w:lvl w:ilvl="0" w:tentative="0">
      <w:start w:val="1"/>
      <w:numFmt w:val="decimal"/>
      <w:suff w:val="nothing"/>
      <w:lvlText w:val="%1．"/>
      <w:lvlJc w:val="left"/>
      <w:pPr>
        <w:ind w:left="0" w:firstLine="400"/>
      </w:pPr>
      <w:rPr>
        <w:rFonts w:hint="default"/>
      </w:rPr>
    </w:lvl>
  </w:abstractNum>
  <w:abstractNum w:abstractNumId="9">
    <w:nsid w:val="7182F057"/>
    <w:multiLevelType w:val="singleLevel"/>
    <w:tmpl w:val="7182F057"/>
    <w:lvl w:ilvl="0" w:tentative="0">
      <w:start w:val="1"/>
      <w:numFmt w:val="decimal"/>
      <w:lvlText w:val="%1."/>
      <w:lvlJc w:val="left"/>
      <w:pPr>
        <w:ind w:left="425" w:hanging="425"/>
      </w:pPr>
      <w:rPr>
        <w:rFonts w:hint="default"/>
      </w:rPr>
    </w:lvl>
  </w:abstractNum>
  <w:num w:numId="1">
    <w:abstractNumId w:val="4"/>
  </w:num>
  <w:num w:numId="2">
    <w:abstractNumId w:val="5"/>
    <w:lvlOverride w:ilvl="0">
      <w:startOverride w:val="1"/>
    </w:lvlOverride>
  </w:num>
  <w:num w:numId="3">
    <w:abstractNumId w:val="7"/>
  </w:num>
  <w:num w:numId="4">
    <w:abstractNumId w:val="2"/>
  </w:num>
  <w:num w:numId="5">
    <w:abstractNumId w:val="6"/>
  </w:num>
  <w:num w:numId="6">
    <w:abstractNumId w:val="3"/>
  </w:num>
  <w:num w:numId="7">
    <w:abstractNumId w:val="1"/>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47F6611"/>
    <w:rsid w:val="0920424B"/>
    <w:rsid w:val="10772EB5"/>
    <w:rsid w:val="11042718"/>
    <w:rsid w:val="11DE5603"/>
    <w:rsid w:val="13BA318B"/>
    <w:rsid w:val="1C28711D"/>
    <w:rsid w:val="1FC61767"/>
    <w:rsid w:val="234F5E22"/>
    <w:rsid w:val="235F129F"/>
    <w:rsid w:val="23F27268"/>
    <w:rsid w:val="252D19D6"/>
    <w:rsid w:val="25A87FB8"/>
    <w:rsid w:val="2D230D73"/>
    <w:rsid w:val="2ED2630E"/>
    <w:rsid w:val="318547A2"/>
    <w:rsid w:val="323F2693"/>
    <w:rsid w:val="330D5B2A"/>
    <w:rsid w:val="34FF5DC8"/>
    <w:rsid w:val="364405EB"/>
    <w:rsid w:val="36817EBB"/>
    <w:rsid w:val="390D4485"/>
    <w:rsid w:val="39CB2D53"/>
    <w:rsid w:val="3A4B4F63"/>
    <w:rsid w:val="3F114200"/>
    <w:rsid w:val="41417945"/>
    <w:rsid w:val="513C3EF8"/>
    <w:rsid w:val="556B3A6A"/>
    <w:rsid w:val="589B3C10"/>
    <w:rsid w:val="5DA113C7"/>
    <w:rsid w:val="603E0EA5"/>
    <w:rsid w:val="607D1710"/>
    <w:rsid w:val="6A280E60"/>
    <w:rsid w:val="71CE0F14"/>
    <w:rsid w:val="725D12C8"/>
    <w:rsid w:val="76892D68"/>
    <w:rsid w:val="7A2558BE"/>
    <w:rsid w:val="7C7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0"/>
      <w:szCs w:val="20"/>
      <w:lang w:val="zh-CN" w:eastAsia="zh-CN" w:bidi="zh-CN"/>
    </w:rPr>
  </w:style>
  <w:style w:type="paragraph" w:styleId="3">
    <w:name w:val="Body Text Indent"/>
    <w:basedOn w:val="1"/>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style>
  <w:style w:type="paragraph" w:customStyle="1" w:styleId="11">
    <w:name w:val="Table Paragraph"/>
    <w:basedOn w:val="1"/>
    <w:qFormat/>
    <w:uiPriority w:val="1"/>
    <w:pPr>
      <w:ind w:left="6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2020-05-15T08:29:21Z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