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芜湖新兴铸管</w:t>
      </w:r>
    </w:p>
    <w:p>
      <w:pPr>
        <w:jc w:val="center"/>
        <w:rPr>
          <w:rFonts w:hint="eastAsia" w:ascii="宋体" w:hAnsi="宋体"/>
          <w:b/>
          <w:sz w:val="36"/>
          <w:szCs w:val="36"/>
          <w:lang w:val="en-US" w:eastAsia="zh-CN"/>
        </w:rPr>
      </w:pPr>
      <w:r>
        <w:rPr>
          <w:rFonts w:hint="eastAsia" w:ascii="宋体" w:hAnsi="宋体"/>
          <w:b/>
          <w:sz w:val="36"/>
          <w:szCs w:val="36"/>
          <w:lang w:val="en-US" w:eastAsia="zh-CN"/>
        </w:rPr>
        <w:t>厂内使用挖掘机、装载机项目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05</w:t>
      </w:r>
      <w:r>
        <w:rPr>
          <w:rFonts w:ascii="宋体" w:hAnsi="宋体"/>
          <w:color w:val="000000"/>
        </w:rPr>
        <w:t>月</w:t>
      </w:r>
      <w:r>
        <w:rPr>
          <w:rFonts w:hint="eastAsia" w:ascii="宋体" w:hAnsi="宋体"/>
          <w:color w:val="000000"/>
          <w:lang w:val="en-US" w:eastAsia="zh-CN"/>
        </w:rPr>
        <w:t>20</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YSQC202006005CNSYWJJZZJXM</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厂内使用挖掘机、装载机项目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eastAsia" w:ascii="宋体" w:hAnsi="宋体"/>
          <w:lang w:val="en-US" w:eastAsia="zh-CN"/>
        </w:rPr>
      </w:pPr>
      <w:r>
        <w:rPr>
          <w:rFonts w:hint="eastAsia" w:ascii="宋体" w:hAnsi="宋体"/>
          <w:lang w:val="en-US" w:eastAsia="zh-CN"/>
        </w:rPr>
        <w:t>厂内使用挖掘机、装载机项目，分标段：</w:t>
      </w:r>
    </w:p>
    <w:p>
      <w:pPr>
        <w:ind w:firstLine="480" w:firstLineChars="200"/>
        <w:jc w:val="both"/>
        <w:rPr>
          <w:rFonts w:hint="eastAsia" w:ascii="宋体" w:hAnsi="宋体"/>
          <w:lang w:val="en-US" w:eastAsia="zh-CN"/>
        </w:rPr>
      </w:pPr>
      <w:r>
        <w:rPr>
          <w:rFonts w:hint="eastAsia" w:ascii="宋体" w:hAnsi="宋体"/>
          <w:lang w:val="en-US" w:eastAsia="zh-CN"/>
        </w:rPr>
        <w:t>1、炼铁部综合料场（1#-5#料场）及块矿烘干场地的原燃料打堆、混料、积料清理等使用195型以上挖掘机（3台）；</w:t>
      </w:r>
    </w:p>
    <w:p>
      <w:pPr>
        <w:ind w:firstLine="480" w:firstLineChars="200"/>
        <w:jc w:val="both"/>
        <w:rPr>
          <w:rFonts w:hint="eastAsia" w:ascii="宋体" w:hAnsi="宋体"/>
          <w:lang w:val="en-US" w:eastAsia="zh-CN"/>
        </w:rPr>
      </w:pPr>
      <w:r>
        <w:rPr>
          <w:rFonts w:hint="eastAsia" w:ascii="宋体" w:hAnsi="宋体"/>
          <w:lang w:val="en-US" w:eastAsia="zh-CN"/>
        </w:rPr>
        <w:t>2、炼铁部铸铁扣罐及高炉、临时破铁重锤区域处理大块渣铁及罐子结盖使用195型以上挖掘机（1台，需配风镐头）；</w:t>
      </w:r>
    </w:p>
    <w:p>
      <w:pPr>
        <w:ind w:firstLine="480" w:firstLineChars="200"/>
        <w:jc w:val="both"/>
        <w:rPr>
          <w:rFonts w:hint="eastAsia" w:ascii="宋体" w:hAnsi="宋体"/>
          <w:lang w:val="en-US" w:eastAsia="zh-CN"/>
        </w:rPr>
      </w:pPr>
      <w:r>
        <w:rPr>
          <w:rFonts w:hint="eastAsia" w:ascii="宋体" w:hAnsi="宋体"/>
          <w:lang w:val="en-US" w:eastAsia="zh-CN"/>
        </w:rPr>
        <w:t>3、炼钢部转炉炉坑清理、精炼炉炉坑清理、废钢清理及零星工作（2台195型以上挖掘机、其中1台需配风镐头）；</w:t>
      </w:r>
    </w:p>
    <w:p>
      <w:pPr>
        <w:ind w:firstLine="480" w:firstLineChars="200"/>
        <w:jc w:val="both"/>
        <w:rPr>
          <w:rFonts w:hint="eastAsia" w:ascii="宋体" w:hAnsi="宋体"/>
          <w:lang w:val="en-US" w:eastAsia="zh-CN"/>
        </w:rPr>
      </w:pPr>
      <w:r>
        <w:rPr>
          <w:rFonts w:hint="eastAsia" w:ascii="宋体" w:hAnsi="宋体"/>
          <w:lang w:val="en-US" w:eastAsia="zh-CN"/>
        </w:rPr>
        <w:t>4、厂内临时用车（195型以上配风镐头挖掘机、195型以上挖掘机、70型配风镐头挖掘机、70型挖掘机，微型挖机）。195型以上挖机日常应保障2-3台，70型挖机日常应保障2-3台，微型挖机1台，1.5-2.5吨）</w:t>
      </w:r>
    </w:p>
    <w:p>
      <w:pPr>
        <w:ind w:firstLine="480" w:firstLineChars="200"/>
        <w:jc w:val="both"/>
        <w:rPr>
          <w:rFonts w:hint="eastAsia" w:ascii="宋体" w:hAnsi="宋体"/>
          <w:lang w:val="en-US" w:eastAsia="zh-CN"/>
        </w:rPr>
      </w:pPr>
      <w:r>
        <w:rPr>
          <w:rFonts w:hint="eastAsia" w:ascii="宋体" w:hAnsi="宋体"/>
          <w:lang w:val="en-US" w:eastAsia="zh-CN"/>
        </w:rPr>
        <w:t>5、炼铁部白灰工部原料打堆、石灰石筛下物装车及所有白灰工部临时性项目作业（50型装载机1台）；</w:t>
      </w:r>
    </w:p>
    <w:p>
      <w:pPr>
        <w:ind w:firstLine="480" w:firstLineChars="200"/>
        <w:jc w:val="both"/>
        <w:rPr>
          <w:rFonts w:hint="eastAsia" w:ascii="宋体" w:hAnsi="宋体"/>
          <w:lang w:val="en-US" w:eastAsia="zh-CN"/>
        </w:rPr>
      </w:pPr>
      <w:r>
        <w:rPr>
          <w:rFonts w:hint="eastAsia" w:ascii="宋体" w:hAnsi="宋体"/>
          <w:lang w:val="en-US" w:eastAsia="zh-CN"/>
        </w:rPr>
        <w:t>6、炼铁部原燃料供料、积料清理及临时性作业用车（50型装载机，白天2台作业，夜里1台作业）；</w:t>
      </w:r>
    </w:p>
    <w:p>
      <w:pPr>
        <w:ind w:firstLine="480" w:firstLineChars="200"/>
        <w:jc w:val="both"/>
        <w:rPr>
          <w:rFonts w:hint="eastAsia" w:ascii="宋体" w:hAnsi="宋体"/>
          <w:lang w:val="en-US" w:eastAsia="zh-CN"/>
        </w:rPr>
      </w:pPr>
      <w:r>
        <w:rPr>
          <w:rFonts w:hint="eastAsia" w:ascii="宋体" w:hAnsi="宋体"/>
          <w:lang w:val="en-US" w:eastAsia="zh-CN"/>
        </w:rPr>
        <w:t>7、炼铁部铸铁区域作业、协助高炉供料作业及其他临时作业用车（50型装载机1台）；</w:t>
      </w:r>
    </w:p>
    <w:p>
      <w:pPr>
        <w:ind w:firstLine="480" w:firstLineChars="200"/>
        <w:jc w:val="both"/>
        <w:rPr>
          <w:rFonts w:hint="eastAsia" w:ascii="宋体" w:hAnsi="宋体"/>
          <w:lang w:val="en-US" w:eastAsia="zh-CN"/>
        </w:rPr>
      </w:pPr>
      <w:r>
        <w:rPr>
          <w:rFonts w:hint="eastAsia" w:ascii="宋体" w:hAnsi="宋体"/>
          <w:lang w:val="en-US" w:eastAsia="zh-CN"/>
        </w:rPr>
        <w:t>8、临时用车。1部50型装载机，装载机应配备加长臂。</w:t>
      </w:r>
    </w:p>
    <w:p>
      <w:pPr>
        <w:ind w:firstLine="480" w:firstLineChars="200"/>
        <w:jc w:val="both"/>
        <w:rPr>
          <w:rFonts w:hint="default" w:ascii="宋体" w:hAnsi="宋体"/>
          <w:lang w:val="en-US" w:eastAsia="zh-CN"/>
        </w:rPr>
      </w:pP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8</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 xml:space="preserve">下午16:30  </w:t>
      </w:r>
      <w:r>
        <w:rPr>
          <w:rFonts w:hint="eastAsia" w:ascii="宋体" w:hAnsi="宋体"/>
          <w:b w:val="0"/>
          <w:bCs/>
          <w:color w:val="auto"/>
          <w:u w:val="single"/>
        </w:rPr>
        <w:t xml:space="preserve"> </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6</w:t>
      </w:r>
      <w:r>
        <w:rPr>
          <w:rFonts w:ascii="宋体" w:hAnsi="宋体"/>
          <w:b w:val="0"/>
          <w:bCs/>
          <w:color w:val="auto"/>
        </w:rPr>
        <w:t>月</w:t>
      </w:r>
      <w:r>
        <w:rPr>
          <w:rFonts w:hint="eastAsia" w:ascii="宋体" w:hAnsi="宋体"/>
          <w:b w:val="0"/>
          <w:bCs/>
          <w:color w:val="auto"/>
          <w:u w:val="single"/>
          <w:lang w:val="en-US" w:eastAsia="zh-CN"/>
        </w:rPr>
        <w:t>12</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陆万</w:t>
      </w:r>
      <w:bookmarkStart w:id="0" w:name="_GoBack"/>
      <w:bookmarkEnd w:id="0"/>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6</w:t>
      </w:r>
      <w:r>
        <w:rPr>
          <w:rFonts w:hint="eastAsia" w:ascii="宋体" w:hAnsi="宋体"/>
          <w:bCs/>
          <w:color w:val="7030A0"/>
        </w:rPr>
        <w:t>月</w:t>
      </w:r>
      <w:r>
        <w:rPr>
          <w:rFonts w:hint="eastAsia" w:ascii="宋体" w:hAnsi="宋体"/>
          <w:bCs/>
          <w:color w:val="7030A0"/>
          <w:u w:val="single"/>
          <w:lang w:val="en-US" w:eastAsia="zh-CN"/>
        </w:rPr>
        <w:t>8</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承揽单位必须具备24小时承揽服务能力，配备足够作业人员，合理安排班次，作业人员不得疲劳作业，班次调整时不得连续24小时作业；作业人员须经培训合格后方可上岗。</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承揽单位在合同履行中，必须遵守我公司的安全、生产、环保、质量、现场、车辆交通等规章制度。如违反相关规章制度，我公司将依据规章制度要求给予考核。</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合同履约保证金在合同执行期结束，经双方确认无合同纠纷后，我公司退还承揽单位履约保证金（无息）；若存在尚未解决合同争端，履约保证金的有效期将延长到上述争端最终解决且所有理赔完毕。</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承揽单位须在履约前准备好车辆、作业人员，所有作业人员需接受用车部门安全培训、业务培训后方可上岗。</w:t>
      </w:r>
    </w:p>
    <w:p>
      <w:pPr>
        <w:numPr>
          <w:ilvl w:val="0"/>
          <w:numId w:val="10"/>
        </w:numPr>
        <w:spacing w:line="240" w:lineRule="auto"/>
        <w:ind w:left="845" w:leftChars="0" w:hanging="425" w:firstLineChars="0"/>
        <w:rPr>
          <w:rFonts w:hint="eastAsia" w:ascii="宋体" w:hAnsi="宋体"/>
          <w:b w:val="0"/>
          <w:bCs w:val="0"/>
          <w:color w:val="auto"/>
          <w:sz w:val="24"/>
          <w:szCs w:val="24"/>
          <w:lang w:val="en-US" w:eastAsia="zh-CN"/>
        </w:rPr>
      </w:pPr>
      <w:r>
        <w:rPr>
          <w:rFonts w:hint="eastAsia"/>
          <w:b w:val="0"/>
          <w:bCs w:val="0"/>
          <w:color w:val="auto"/>
          <w:sz w:val="24"/>
          <w:szCs w:val="24"/>
          <w:lang w:val="en-US" w:eastAsia="zh-CN"/>
        </w:rPr>
        <w:t>合同期：2020年6月28日至2020年12月28日。</w:t>
      </w:r>
    </w:p>
    <w:p>
      <w:pPr>
        <w:numPr>
          <w:ilvl w:val="0"/>
          <w:numId w:val="10"/>
        </w:numPr>
        <w:spacing w:line="240" w:lineRule="auto"/>
        <w:ind w:left="845" w:leftChars="0" w:hanging="425" w:firstLineChars="0"/>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投标单位需具备装卸资质。</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jc w:val="center"/>
        <w:rPr>
          <w:rFonts w:hint="eastAsia" w:ascii="宋体" w:hAnsi="宋体" w:eastAsia="宋体" w:cs="宋体"/>
          <w:sz w:val="21"/>
          <w:szCs w:val="21"/>
          <w:lang w:eastAsia="zh-CN"/>
        </w:rPr>
      </w:pPr>
      <w:r>
        <w:rPr>
          <w:rFonts w:hint="eastAsia" w:ascii="宋体" w:hAnsi="宋体" w:cs="宋体"/>
          <w:sz w:val="21"/>
          <w:szCs w:val="21"/>
          <w:lang w:eastAsia="zh-CN"/>
        </w:rPr>
        <w:t>不含税</w:t>
      </w:r>
      <w:r>
        <w:rPr>
          <w:rFonts w:hint="eastAsia" w:ascii="宋体" w:hAnsi="宋体" w:eastAsia="宋体" w:cs="宋体"/>
          <w:sz w:val="21"/>
          <w:szCs w:val="21"/>
          <w:lang w:eastAsia="zh-CN"/>
        </w:rPr>
        <w:t>报价（适用税率</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w:t>
      </w:r>
    </w:p>
    <w:tbl>
      <w:tblPr>
        <w:tblStyle w:val="7"/>
        <w:tblW w:w="10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706"/>
        <w:gridCol w:w="1886"/>
        <w:gridCol w:w="2998"/>
        <w:gridCol w:w="137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车型</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结算方式</w:t>
            </w:r>
          </w:p>
        </w:tc>
        <w:tc>
          <w:tcPr>
            <w:tcW w:w="13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单价   </w:t>
            </w:r>
          </w:p>
        </w:tc>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1"/>
                <w:szCs w:val="21"/>
                <w:vertAlign w:val="baseline"/>
                <w:lang w:val="en-US" w:eastAsia="zh-CN"/>
              </w:rPr>
            </w:pPr>
          </w:p>
        </w:tc>
        <w:tc>
          <w:tcPr>
            <w:tcW w:w="2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炼铁部综合料场（1#-5#料场）及块矿烘干场地的原燃料打堆、混料、积料清理等</w:t>
            </w: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195</w:t>
            </w:r>
            <w:r>
              <w:rPr>
                <w:rFonts w:hint="eastAsia" w:ascii="宋体" w:hAnsi="宋体" w:eastAsia="宋体" w:cs="宋体"/>
                <w:sz w:val="21"/>
                <w:szCs w:val="21"/>
                <w:vertAlign w:val="baseline"/>
                <w:lang w:val="en-US" w:eastAsia="zh-CN"/>
              </w:rPr>
              <w:t>型</w:t>
            </w:r>
            <w:r>
              <w:rPr>
                <w:rFonts w:hint="eastAsia" w:ascii="宋体" w:hAnsi="宋体" w:cs="宋体"/>
                <w:sz w:val="21"/>
                <w:szCs w:val="21"/>
                <w:vertAlign w:val="baseline"/>
                <w:lang w:val="en-US" w:eastAsia="zh-CN"/>
              </w:rPr>
              <w:t>以上</w:t>
            </w:r>
            <w:r>
              <w:rPr>
                <w:rFonts w:hint="eastAsia" w:ascii="宋体" w:hAnsi="宋体" w:eastAsia="宋体" w:cs="宋体"/>
                <w:sz w:val="21"/>
                <w:szCs w:val="21"/>
                <w:vertAlign w:val="baseline"/>
                <w:lang w:val="en-US" w:eastAsia="zh-CN"/>
              </w:rPr>
              <w:t>挖掘机（3台）</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结算费用=烧结</w:t>
            </w:r>
            <w:r>
              <w:rPr>
                <w:rFonts w:hint="eastAsia" w:ascii="宋体" w:hAnsi="宋体" w:cs="宋体"/>
                <w:color w:val="auto"/>
                <w:sz w:val="21"/>
                <w:szCs w:val="21"/>
                <w:vertAlign w:val="baseline"/>
                <w:lang w:val="en-US" w:eastAsia="zh-CN"/>
              </w:rPr>
              <w:t>毛矿</w:t>
            </w:r>
            <w:r>
              <w:rPr>
                <w:rFonts w:hint="eastAsia" w:ascii="宋体" w:hAnsi="宋体" w:eastAsia="宋体" w:cs="宋体"/>
                <w:color w:val="auto"/>
                <w:sz w:val="21"/>
                <w:szCs w:val="21"/>
                <w:vertAlign w:val="baseline"/>
                <w:lang w:val="en-US" w:eastAsia="zh-CN"/>
              </w:rPr>
              <w:t>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烧结产量</w:t>
            </w:r>
            <w:r>
              <w:rPr>
                <w:rFonts w:hint="eastAsia" w:ascii="宋体" w:hAnsi="宋体" w:cs="宋体"/>
                <w:color w:val="auto"/>
                <w:sz w:val="21"/>
                <w:szCs w:val="21"/>
                <w:vertAlign w:val="baseline"/>
                <w:lang w:val="en-US" w:eastAsia="zh-CN"/>
              </w:rPr>
              <w:t>约37万吨/月</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142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三个月后付款    （承兑汇票）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炼铁铸铁扣罐区域处理大块渣铁及罐子结盖</w:t>
            </w: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195</w:t>
            </w:r>
            <w:r>
              <w:rPr>
                <w:rFonts w:hint="eastAsia" w:ascii="宋体" w:hAnsi="宋体" w:eastAsia="宋体" w:cs="宋体"/>
                <w:sz w:val="21"/>
                <w:szCs w:val="21"/>
                <w:vertAlign w:val="baseline"/>
                <w:lang w:val="en-US" w:eastAsia="zh-CN"/>
              </w:rPr>
              <w:t>型</w:t>
            </w:r>
            <w:r>
              <w:rPr>
                <w:rFonts w:hint="eastAsia" w:ascii="宋体" w:hAnsi="宋体" w:cs="宋体"/>
                <w:sz w:val="21"/>
                <w:szCs w:val="21"/>
                <w:vertAlign w:val="baseline"/>
                <w:lang w:val="en-US" w:eastAsia="zh-CN"/>
              </w:rPr>
              <w:t>以上</w:t>
            </w:r>
            <w:r>
              <w:rPr>
                <w:rFonts w:hint="eastAsia" w:ascii="宋体" w:hAnsi="宋体" w:eastAsia="宋体" w:cs="宋体"/>
                <w:sz w:val="21"/>
                <w:szCs w:val="21"/>
                <w:vertAlign w:val="baseline"/>
                <w:lang w:val="en-US" w:eastAsia="zh-CN"/>
              </w:rPr>
              <w:t>挖掘机（1台，需配镐头）</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结算费用=当月铁水产量*单价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铁水产量</w:t>
            </w:r>
            <w:r>
              <w:rPr>
                <w:rFonts w:hint="eastAsia" w:ascii="宋体" w:hAnsi="宋体" w:cs="宋体"/>
                <w:color w:val="auto"/>
                <w:sz w:val="21"/>
                <w:szCs w:val="21"/>
                <w:vertAlign w:val="baseline"/>
                <w:lang w:val="en-US" w:eastAsia="zh-CN"/>
              </w:rPr>
              <w:t>约23.5万吨/月</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8" w:type="dxa"/>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2706" w:type="dxa"/>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r>
              <w:rPr>
                <w:rFonts w:hint="default" w:ascii="宋体" w:hAnsi="宋体" w:eastAsia="宋体"/>
                <w:b w:val="0"/>
                <w:i w:val="0"/>
                <w:snapToGrid/>
                <w:color w:val="000000"/>
                <w:sz w:val="21"/>
                <w:szCs w:val="21"/>
                <w:u w:val="none"/>
                <w:lang w:eastAsia="zh-CN"/>
              </w:rPr>
              <w:t>炼钢部转炉炉坑清理、精炼炉炉坑清理、废钢清理及零星工作</w:t>
            </w:r>
          </w:p>
        </w:tc>
        <w:tc>
          <w:tcPr>
            <w:tcW w:w="1886" w:type="dxa"/>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r>
              <w:rPr>
                <w:rFonts w:hint="default" w:ascii="宋体" w:hAnsi="宋体" w:eastAsia="宋体"/>
                <w:b w:val="0"/>
                <w:i w:val="0"/>
                <w:snapToGrid/>
                <w:color w:val="0000FF"/>
                <w:sz w:val="21"/>
                <w:szCs w:val="21"/>
                <w:u w:val="none"/>
                <w:lang w:eastAsia="zh-CN"/>
              </w:rPr>
              <w:t>2台</w:t>
            </w:r>
            <w:r>
              <w:rPr>
                <w:rFonts w:hint="eastAsia" w:ascii="宋体" w:hAnsi="宋体" w:cs="宋体"/>
                <w:color w:val="0000FF"/>
                <w:sz w:val="21"/>
                <w:szCs w:val="21"/>
                <w:vertAlign w:val="baseline"/>
                <w:lang w:val="en-US" w:eastAsia="zh-CN"/>
              </w:rPr>
              <w:t>195</w:t>
            </w:r>
            <w:r>
              <w:rPr>
                <w:rFonts w:hint="eastAsia" w:ascii="宋体" w:hAnsi="宋体" w:eastAsia="宋体" w:cs="宋体"/>
                <w:color w:val="0000FF"/>
                <w:sz w:val="21"/>
                <w:szCs w:val="21"/>
                <w:vertAlign w:val="baseline"/>
                <w:lang w:val="en-US" w:eastAsia="zh-CN"/>
              </w:rPr>
              <w:t>型</w:t>
            </w:r>
            <w:r>
              <w:rPr>
                <w:rFonts w:hint="eastAsia" w:ascii="宋体" w:hAnsi="宋体" w:cs="宋体"/>
                <w:color w:val="0000FF"/>
                <w:sz w:val="21"/>
                <w:szCs w:val="21"/>
                <w:vertAlign w:val="baseline"/>
                <w:lang w:val="en-US" w:eastAsia="zh-CN"/>
              </w:rPr>
              <w:t>以上</w:t>
            </w:r>
            <w:r>
              <w:rPr>
                <w:rFonts w:hint="default" w:ascii="宋体" w:hAnsi="宋体" w:eastAsia="宋体"/>
                <w:b w:val="0"/>
                <w:i w:val="0"/>
                <w:snapToGrid/>
                <w:color w:val="0000FF"/>
                <w:sz w:val="21"/>
                <w:szCs w:val="21"/>
                <w:u w:val="none"/>
                <w:lang w:eastAsia="zh-CN"/>
              </w:rPr>
              <w:t>挖掘机</w:t>
            </w:r>
            <w:r>
              <w:rPr>
                <w:rFonts w:hint="eastAsia" w:ascii="宋体" w:hAnsi="宋体"/>
                <w:b w:val="0"/>
                <w:i w:val="0"/>
                <w:snapToGrid/>
                <w:color w:val="0000FF"/>
                <w:sz w:val="21"/>
                <w:szCs w:val="21"/>
                <w:u w:val="none"/>
                <w:lang w:eastAsia="zh-CN"/>
              </w:rPr>
              <w:t>、其中</w:t>
            </w:r>
            <w:r>
              <w:rPr>
                <w:rFonts w:hint="eastAsia" w:ascii="宋体" w:hAnsi="宋体"/>
                <w:b w:val="0"/>
                <w:i w:val="0"/>
                <w:snapToGrid/>
                <w:color w:val="0000FF"/>
                <w:sz w:val="21"/>
                <w:szCs w:val="21"/>
                <w:u w:val="none"/>
                <w:lang w:val="en-US" w:eastAsia="zh-CN"/>
              </w:rPr>
              <w:t>1台需配风镐头</w:t>
            </w:r>
          </w:p>
        </w:tc>
        <w:tc>
          <w:tcPr>
            <w:tcW w:w="2998" w:type="dxa"/>
            <w:noWrap w:val="0"/>
            <w:vAlign w:val="center"/>
          </w:tcPr>
          <w:p>
            <w:pPr>
              <w:kinsoku/>
              <w:autoSpaceDE/>
              <w:autoSpaceDN w:val="0"/>
              <w:spacing w:line="240" w:lineRule="auto"/>
              <w:jc w:val="center"/>
              <w:textAlignment w:val="center"/>
              <w:rPr>
                <w:rFonts w:hint="eastAsia" w:ascii="宋体" w:hAnsi="宋体" w:eastAsia="宋体" w:cs="宋体"/>
                <w:color w:val="auto"/>
                <w:sz w:val="21"/>
                <w:szCs w:val="21"/>
                <w:vertAlign w:val="baseline"/>
                <w:lang w:val="en-US" w:eastAsia="zh-CN"/>
              </w:rPr>
            </w:pPr>
            <w:r>
              <w:rPr>
                <w:rFonts w:hint="default" w:ascii="宋体" w:hAnsi="宋体" w:eastAsia="宋体"/>
                <w:b w:val="0"/>
                <w:i w:val="0"/>
                <w:snapToGrid/>
                <w:color w:val="000000"/>
                <w:sz w:val="21"/>
                <w:szCs w:val="21"/>
                <w:u w:val="none"/>
                <w:lang w:eastAsia="zh-CN"/>
              </w:rPr>
              <w:t>费用=当月钢产量*单价          钢产量月均2</w:t>
            </w:r>
            <w:r>
              <w:rPr>
                <w:rFonts w:hint="eastAsia" w:ascii="宋体" w:hAnsi="宋体"/>
                <w:b w:val="0"/>
                <w:i w:val="0"/>
                <w:snapToGrid/>
                <w:color w:val="000000"/>
                <w:sz w:val="21"/>
                <w:szCs w:val="21"/>
                <w:u w:val="none"/>
                <w:lang w:val="en-US" w:eastAsia="zh-CN"/>
              </w:rPr>
              <w:t>4.5</w:t>
            </w:r>
            <w:r>
              <w:rPr>
                <w:rFonts w:hint="default" w:ascii="宋体" w:hAnsi="宋体" w:eastAsia="宋体"/>
                <w:b w:val="0"/>
                <w:i w:val="0"/>
                <w:snapToGrid/>
                <w:color w:val="000000"/>
                <w:sz w:val="21"/>
                <w:szCs w:val="21"/>
                <w:u w:val="none"/>
                <w:lang w:eastAsia="zh-CN"/>
              </w:rPr>
              <w:t>万吨</w:t>
            </w:r>
          </w:p>
        </w:tc>
        <w:tc>
          <w:tcPr>
            <w:tcW w:w="1376" w:type="dxa"/>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1422" w:type="dxa"/>
            <w:vMerge w:val="continue"/>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2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270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临时用车</w:t>
            </w: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195</w:t>
            </w:r>
            <w:r>
              <w:rPr>
                <w:rFonts w:hint="eastAsia" w:ascii="宋体" w:hAnsi="宋体" w:eastAsia="宋体" w:cs="宋体"/>
                <w:sz w:val="21"/>
                <w:szCs w:val="21"/>
                <w:vertAlign w:val="baseline"/>
                <w:lang w:val="en-US" w:eastAsia="zh-CN"/>
              </w:rPr>
              <w:t>型</w:t>
            </w:r>
            <w:r>
              <w:rPr>
                <w:rFonts w:hint="eastAsia" w:ascii="宋体" w:hAnsi="宋体" w:cs="宋体"/>
                <w:sz w:val="21"/>
                <w:szCs w:val="21"/>
                <w:vertAlign w:val="baseline"/>
                <w:lang w:val="en-US" w:eastAsia="zh-CN"/>
              </w:rPr>
              <w:t>以上</w:t>
            </w:r>
            <w:r>
              <w:rPr>
                <w:rFonts w:hint="eastAsia" w:ascii="宋体" w:hAnsi="宋体" w:eastAsia="宋体" w:cs="宋体"/>
                <w:sz w:val="21"/>
                <w:szCs w:val="21"/>
                <w:vertAlign w:val="baseline"/>
                <w:lang w:val="en-US" w:eastAsia="zh-CN"/>
              </w:rPr>
              <w:t>挖掘机</w:t>
            </w:r>
            <w:r>
              <w:rPr>
                <w:rFonts w:hint="eastAsia" w:ascii="宋体" w:hAnsi="宋体" w:cs="宋体"/>
                <w:sz w:val="21"/>
                <w:szCs w:val="21"/>
                <w:vertAlign w:val="baseline"/>
                <w:lang w:val="en-US" w:eastAsia="zh-CN"/>
              </w:rPr>
              <w:t>配</w:t>
            </w:r>
            <w:r>
              <w:rPr>
                <w:rFonts w:hint="eastAsia" w:ascii="宋体" w:hAnsi="宋体" w:eastAsia="宋体" w:cs="宋体"/>
                <w:sz w:val="21"/>
                <w:szCs w:val="21"/>
                <w:vertAlign w:val="baseline"/>
                <w:lang w:val="en-US" w:eastAsia="zh-CN"/>
              </w:rPr>
              <w:t>镐头</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结算费用=使用小时*单价</w:t>
            </w:r>
            <w:r>
              <w:rPr>
                <w:rFonts w:hint="eastAsia" w:ascii="宋体" w:hAnsi="宋体" w:cs="宋体"/>
                <w:color w:val="auto"/>
                <w:sz w:val="21"/>
                <w:szCs w:val="21"/>
                <w:vertAlign w:val="baseline"/>
                <w:lang w:val="en-US" w:eastAsia="zh-CN"/>
              </w:rPr>
              <w:t xml:space="preserve">    约25小时/月</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元/小时</w:t>
            </w:r>
          </w:p>
        </w:tc>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c>
          <w:tcPr>
            <w:tcW w:w="270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195</w:t>
            </w:r>
            <w:r>
              <w:rPr>
                <w:rFonts w:hint="eastAsia" w:ascii="宋体" w:hAnsi="宋体" w:eastAsia="宋体" w:cs="宋体"/>
                <w:sz w:val="21"/>
                <w:szCs w:val="21"/>
                <w:vertAlign w:val="baseline"/>
                <w:lang w:val="en-US" w:eastAsia="zh-CN"/>
              </w:rPr>
              <w:t>型</w:t>
            </w:r>
            <w:r>
              <w:rPr>
                <w:rFonts w:hint="eastAsia" w:ascii="宋体" w:hAnsi="宋体" w:cs="宋体"/>
                <w:sz w:val="21"/>
                <w:szCs w:val="21"/>
                <w:vertAlign w:val="baseline"/>
                <w:lang w:val="en-US" w:eastAsia="zh-CN"/>
              </w:rPr>
              <w:t xml:space="preserve">以上 </w:t>
            </w:r>
            <w:r>
              <w:rPr>
                <w:rFonts w:hint="eastAsia" w:ascii="宋体" w:hAnsi="宋体" w:eastAsia="宋体" w:cs="宋体"/>
                <w:sz w:val="21"/>
                <w:szCs w:val="21"/>
                <w:vertAlign w:val="baseline"/>
                <w:lang w:val="en-US" w:eastAsia="zh-CN"/>
              </w:rPr>
              <w:t>挖掘机</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w:t>
            </w:r>
            <w:r>
              <w:rPr>
                <w:rFonts w:hint="eastAsia" w:ascii="宋体" w:hAnsi="宋体" w:cs="宋体"/>
                <w:sz w:val="21"/>
                <w:szCs w:val="21"/>
                <w:vertAlign w:val="baseline"/>
                <w:lang w:val="en-US" w:eastAsia="zh-CN"/>
              </w:rPr>
              <w:t xml:space="preserve">    约1000小时/月</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元/小时</w:t>
            </w:r>
          </w:p>
        </w:tc>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c>
          <w:tcPr>
            <w:tcW w:w="270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70型配风镐头挖掘机</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w:t>
            </w:r>
            <w:r>
              <w:rPr>
                <w:rFonts w:hint="eastAsia" w:ascii="宋体" w:hAnsi="宋体" w:cs="宋体"/>
                <w:sz w:val="21"/>
                <w:szCs w:val="21"/>
                <w:vertAlign w:val="baseline"/>
                <w:lang w:val="en-US" w:eastAsia="zh-CN"/>
              </w:rPr>
              <w:t xml:space="preserve">    约150小时/月</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元/小时</w:t>
            </w:r>
          </w:p>
        </w:tc>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270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70型挖掘机</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w:t>
            </w:r>
            <w:r>
              <w:rPr>
                <w:rFonts w:hint="eastAsia" w:ascii="宋体" w:hAnsi="宋体" w:cs="宋体"/>
                <w:sz w:val="21"/>
                <w:szCs w:val="21"/>
                <w:vertAlign w:val="baseline"/>
                <w:lang w:val="en-US" w:eastAsia="zh-CN"/>
              </w:rPr>
              <w:t xml:space="preserve">    约200小时/月</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元/小时</w:t>
            </w:r>
          </w:p>
        </w:tc>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270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微型挖机（1.5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-2.5吨）</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color w:val="auto"/>
                <w:sz w:val="21"/>
                <w:szCs w:val="21"/>
                <w:vertAlign w:val="baseline"/>
                <w:lang w:val="en-US" w:eastAsia="zh-CN"/>
              </w:rPr>
              <w:t>约25小时/月</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元/小时</w:t>
            </w:r>
          </w:p>
        </w:tc>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2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炼铁部白灰工部原料打堆、石灰石筛下物装车及临时性项目作业</w:t>
            </w: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50型装载机（1部，配备加长臂）</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结算费用=当月白灰产量*单价</w:t>
            </w:r>
            <w:r>
              <w:rPr>
                <w:rFonts w:hint="eastAsia" w:ascii="宋体" w:hAnsi="宋体" w:cs="宋体"/>
                <w:sz w:val="21"/>
                <w:szCs w:val="21"/>
                <w:vertAlign w:val="baseline"/>
                <w:lang w:val="en-US" w:eastAsia="zh-CN"/>
              </w:rPr>
              <w:t xml:space="preserve">    约2.7万吨</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righ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元/吨</w:t>
            </w:r>
          </w:p>
        </w:tc>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次月付款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2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炼铁部原燃料供料、积料清理及临时性作业用车</w:t>
            </w: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50型装载机</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白天2台作业，夜里1台作业</w:t>
            </w:r>
            <w:r>
              <w:rPr>
                <w:rFonts w:hint="eastAsia" w:ascii="宋体" w:hAnsi="宋体" w:cs="宋体"/>
                <w:sz w:val="21"/>
                <w:szCs w:val="21"/>
                <w:vertAlign w:val="baseline"/>
                <w:lang w:val="en-US" w:eastAsia="zh-CN"/>
              </w:rPr>
              <w:t>）</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结算费用=当月铁水产量*单价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约23.5万吨</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righ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元/吨</w:t>
            </w:r>
          </w:p>
        </w:tc>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次月付款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w:t>
            </w:r>
          </w:p>
        </w:tc>
        <w:tc>
          <w:tcPr>
            <w:tcW w:w="2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炼铁部铸铁区域作业、协助高炉供料作业及其他临时作业用车</w:t>
            </w: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50型装载机（1部，配备加长臂）</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结算费用=当月铁水产量*单价</w:t>
            </w:r>
            <w:r>
              <w:rPr>
                <w:rFonts w:hint="eastAsia" w:ascii="宋体" w:hAnsi="宋体" w:cs="宋体"/>
                <w:sz w:val="21"/>
                <w:szCs w:val="21"/>
                <w:vertAlign w:val="baseline"/>
                <w:lang w:val="en-US" w:eastAsia="zh-CN"/>
              </w:rPr>
              <w:t xml:space="preserve">  约23.5万吨</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righ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元/吨</w:t>
            </w:r>
          </w:p>
        </w:tc>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次月付款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c>
          <w:tcPr>
            <w:tcW w:w="2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临时用车</w:t>
            </w:r>
          </w:p>
        </w:tc>
        <w:tc>
          <w:tcPr>
            <w:tcW w:w="18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50型装载机（配备加长臂）</w:t>
            </w:r>
          </w:p>
        </w:tc>
        <w:tc>
          <w:tcPr>
            <w:tcW w:w="29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结算费用=使用小时*单价</w:t>
            </w:r>
            <w:r>
              <w:rPr>
                <w:rFonts w:hint="eastAsia" w:ascii="宋体" w:hAnsi="宋体" w:cs="宋体"/>
                <w:sz w:val="21"/>
                <w:szCs w:val="21"/>
                <w:vertAlign w:val="baseline"/>
                <w:lang w:val="en-US" w:eastAsia="zh-CN"/>
              </w:rPr>
              <w:t xml:space="preserve">    约10小时/月</w:t>
            </w:r>
          </w:p>
        </w:tc>
        <w:tc>
          <w:tcPr>
            <w:tcW w:w="1376"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righ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元/小时</w:t>
            </w:r>
          </w:p>
        </w:tc>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次月付款    （承兑汇票）</w:t>
            </w:r>
          </w:p>
        </w:tc>
      </w:tr>
    </w:tbl>
    <w:p>
      <w:pPr>
        <w:spacing w:line="360" w:lineRule="auto"/>
        <w:rPr>
          <w:rFonts w:hint="eastAsia" w:ascii="宋体" w:hAnsi="宋体" w:eastAsia="宋体" w:cs="宋体"/>
          <w:sz w:val="28"/>
          <w:szCs w:val="24"/>
          <w:lang w:val="en-US" w:eastAsia="zh-CN"/>
        </w:rPr>
      </w:pPr>
      <w:r>
        <w:rPr>
          <w:rFonts w:hint="eastAsia"/>
          <w:lang w:val="en-US" w:eastAsia="zh-CN"/>
        </w:rPr>
        <w:t xml:space="preserve">     </w:t>
      </w: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20</w:t>
      </w:r>
      <w:r>
        <w:rPr>
          <w:rFonts w:ascii="宋体" w:hAnsi="宋体"/>
          <w:color w:val="auto"/>
          <w:sz w:val="24"/>
          <w:szCs w:val="24"/>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A7F9BA2"/>
    <w:multiLevelType w:val="singleLevel"/>
    <w:tmpl w:val="1A7F9BA2"/>
    <w:lvl w:ilvl="0" w:tentative="0">
      <w:start w:val="1"/>
      <w:numFmt w:val="decimal"/>
      <w:lvlText w:val="%1."/>
      <w:lvlJc w:val="left"/>
      <w:pPr>
        <w:ind w:left="425" w:hanging="425"/>
      </w:pPr>
      <w:rPr>
        <w:rFonts w:hint="default"/>
      </w:rPr>
    </w:lvl>
  </w:abstractNum>
  <w:abstractNum w:abstractNumId="7">
    <w:nsid w:val="4C2AC38A"/>
    <w:multiLevelType w:val="singleLevel"/>
    <w:tmpl w:val="4C2AC38A"/>
    <w:lvl w:ilvl="0" w:tentative="0">
      <w:start w:val="1"/>
      <w:numFmt w:val="decimal"/>
      <w:suff w:val="space"/>
      <w:lvlText w:val="%1."/>
      <w:lvlJc w:val="left"/>
    </w:lvl>
  </w:abstractNum>
  <w:abstractNum w:abstractNumId="8">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9">
    <w:nsid w:val="7182F057"/>
    <w:multiLevelType w:val="singleLevel"/>
    <w:tmpl w:val="7182F057"/>
    <w:lvl w:ilvl="0" w:tentative="0">
      <w:start w:val="1"/>
      <w:numFmt w:val="decimal"/>
      <w:lvlText w:val="%1."/>
      <w:lvlJc w:val="left"/>
      <w:pPr>
        <w:ind w:left="425" w:hanging="425"/>
      </w:pPr>
      <w:rPr>
        <w:rFonts w:hint="default"/>
      </w:rPr>
    </w:lvl>
  </w:abstractNum>
  <w:num w:numId="1">
    <w:abstractNumId w:val="4"/>
    <w:lvlOverride w:ilvl="0">
      <w:startOverride w:val="1"/>
    </w:lvlOverride>
  </w:num>
  <w:num w:numId="2">
    <w:abstractNumId w:val="7"/>
  </w:num>
  <w:num w:numId="3">
    <w:abstractNumId w:val="2"/>
  </w:num>
  <w:num w:numId="4">
    <w:abstractNumId w:val="5"/>
  </w:num>
  <w:num w:numId="5">
    <w:abstractNumId w:val="3"/>
  </w:num>
  <w:num w:numId="6">
    <w:abstractNumId w:val="1"/>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4A2403A"/>
    <w:rsid w:val="0920424B"/>
    <w:rsid w:val="10772EB5"/>
    <w:rsid w:val="11042718"/>
    <w:rsid w:val="11DE5603"/>
    <w:rsid w:val="13BA318B"/>
    <w:rsid w:val="1C28711D"/>
    <w:rsid w:val="1FC61767"/>
    <w:rsid w:val="234F5E22"/>
    <w:rsid w:val="235F129F"/>
    <w:rsid w:val="23F27268"/>
    <w:rsid w:val="252D19D6"/>
    <w:rsid w:val="25A87FB8"/>
    <w:rsid w:val="2D230D73"/>
    <w:rsid w:val="2ED2630E"/>
    <w:rsid w:val="318547A2"/>
    <w:rsid w:val="323F2693"/>
    <w:rsid w:val="330D5B2A"/>
    <w:rsid w:val="34FF5DC8"/>
    <w:rsid w:val="364405EB"/>
    <w:rsid w:val="36817EBB"/>
    <w:rsid w:val="390D4485"/>
    <w:rsid w:val="39CB2D53"/>
    <w:rsid w:val="3A4B4F63"/>
    <w:rsid w:val="3EE92E85"/>
    <w:rsid w:val="3F114200"/>
    <w:rsid w:val="41417945"/>
    <w:rsid w:val="513C3EF8"/>
    <w:rsid w:val="556B3A6A"/>
    <w:rsid w:val="589B3C10"/>
    <w:rsid w:val="5DA113C7"/>
    <w:rsid w:val="603E0EA5"/>
    <w:rsid w:val="607D1710"/>
    <w:rsid w:val="652F3612"/>
    <w:rsid w:val="6C373C66"/>
    <w:rsid w:val="71CE0F14"/>
    <w:rsid w:val="725D12C8"/>
    <w:rsid w:val="742A3B3A"/>
    <w:rsid w:val="76892D68"/>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cp:lastPrinted>2020-05-20T06:16:31Z</cp:lastPrinted>
  <dcterms:modified xsi:type="dcterms:W3CDTF">2020-05-20T06:17:35Z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