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产成品钢材销售汽车运输</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5</w:t>
      </w:r>
      <w:r>
        <w:rPr>
          <w:rFonts w:ascii="宋体" w:hAnsi="宋体"/>
          <w:color w:val="000000"/>
        </w:rPr>
        <w:t>月</w:t>
      </w:r>
      <w:r>
        <w:rPr>
          <w:rFonts w:hint="eastAsia" w:ascii="宋体" w:hAnsi="宋体"/>
          <w:color w:val="000000"/>
          <w:lang w:val="en-US" w:eastAsia="zh-CN"/>
        </w:rPr>
        <w:t>27</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YSQC202006010CCPGCXSYS</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sz w:val="24"/>
          <w:szCs w:val="24"/>
          <w:u w:val="single"/>
          <w:lang w:eastAsia="zh-CN"/>
        </w:rPr>
        <w:t>产成品钢材销售汽车运输</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ind w:firstLine="480" w:firstLineChars="200"/>
        <w:jc w:val="both"/>
        <w:rPr>
          <w:rFonts w:hint="eastAsia" w:ascii="宋体" w:hAnsi="宋体"/>
          <w:kern w:val="2"/>
          <w:sz w:val="24"/>
          <w:szCs w:val="24"/>
          <w:lang w:val="en-US" w:eastAsia="zh-CN" w:bidi="ar-SA"/>
        </w:rPr>
      </w:pPr>
      <w:r>
        <w:rPr>
          <w:rFonts w:hint="eastAsia" w:ascii="宋体" w:hAnsi="宋体"/>
          <w:kern w:val="2"/>
          <w:sz w:val="24"/>
          <w:szCs w:val="24"/>
          <w:lang w:val="en-US" w:eastAsia="zh-CN" w:bidi="ar-SA"/>
        </w:rPr>
        <w:t>项目业务内容：将公司生产的螺纹钢、棒材、锚杆钢、钢坯、锻材、盘螺、盘圆、热轧电杆钢、锚杆钢、生铁等产成品使用13米平板车运至各销售目的地。本次招标总计86条运输线路，合计每月运量约2.3万吨。</w:t>
      </w:r>
    </w:p>
    <w:p>
      <w:pPr>
        <w:pStyle w:val="5"/>
        <w:keepNext w:val="0"/>
        <w:keepLines w:val="0"/>
        <w:widowControl/>
        <w:suppressLineNumbers w:val="0"/>
        <w:shd w:val="clear" w:color="auto" w:fill="FFFFFF"/>
        <w:spacing w:line="240" w:lineRule="auto"/>
        <w:ind w:left="0" w:leftChars="0" w:firstLine="480" w:firstLineChars="200"/>
        <w:jc w:val="left"/>
        <w:rPr>
          <w:rFonts w:hint="default" w:ascii="宋体" w:hAnsi="宋体"/>
          <w:kern w:val="2"/>
          <w:sz w:val="24"/>
          <w:szCs w:val="24"/>
          <w:lang w:val="en-US" w:eastAsia="zh-CN" w:bidi="ar-SA"/>
        </w:rPr>
      </w:pPr>
      <w:r>
        <w:rPr>
          <w:rFonts w:hint="default" w:ascii="宋体" w:hAnsi="宋体"/>
          <w:kern w:val="2"/>
          <w:sz w:val="24"/>
          <w:szCs w:val="24"/>
          <w:lang w:val="en-US" w:eastAsia="zh-CN" w:bidi="ar-SA"/>
        </w:rPr>
        <w:t>合同有效期自2020年6月28日起至2020年12月28日止。</w:t>
      </w:r>
    </w:p>
    <w:p>
      <w:pPr>
        <w:pStyle w:val="5"/>
        <w:keepNext w:val="0"/>
        <w:keepLines w:val="0"/>
        <w:widowControl/>
        <w:suppressLineNumbers w:val="0"/>
        <w:shd w:val="clear" w:color="auto" w:fill="FFFFFF"/>
        <w:spacing w:line="240" w:lineRule="auto"/>
        <w:ind w:left="0" w:leftChars="0" w:firstLine="480" w:firstLineChars="200"/>
        <w:jc w:val="left"/>
        <w:rPr>
          <w:rFonts w:hint="eastAsia" w:ascii="宋体" w:hAnsi="宋体"/>
          <w:color w:val="FF0000"/>
        </w:rPr>
      </w:pPr>
      <w:r>
        <w:rPr>
          <w:rFonts w:hint="eastAsia" w:ascii="宋体" w:hAnsi="宋体"/>
          <w:color w:val="auto"/>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凯</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徐维锋</w:t>
      </w:r>
      <w:r>
        <w:rPr>
          <w:rFonts w:hint="eastAsia" w:ascii="宋体" w:hAnsi="宋体"/>
        </w:rPr>
        <w:t xml:space="preserve">   </w:t>
      </w:r>
      <w:r>
        <w:rPr>
          <w:rFonts w:hint="eastAsia" w:ascii="宋体" w:hAnsi="宋体"/>
          <w:lang w:val="en-US" w:eastAsia="zh-CN"/>
        </w:rPr>
        <w:t xml:space="preserve"> 15178577168</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15</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18</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拾万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6</w:t>
      </w:r>
      <w:r>
        <w:rPr>
          <w:rFonts w:hint="eastAsia" w:ascii="宋体" w:hAnsi="宋体"/>
          <w:bCs/>
          <w:color w:val="7030A0"/>
        </w:rPr>
        <w:t>月</w:t>
      </w:r>
      <w:r>
        <w:rPr>
          <w:rFonts w:hint="eastAsia" w:ascii="宋体" w:hAnsi="宋体"/>
          <w:bCs/>
          <w:color w:val="7030A0"/>
          <w:u w:val="single"/>
          <w:lang w:val="en-US" w:eastAsia="zh-CN"/>
        </w:rPr>
        <w:t>15</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9"/>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9"/>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left="240" w:leftChars="100" w:firstLine="0" w:firstLineChars="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中标单位每月10日前将用车部门核准出具的结算证明交运输部，经运输部核算金额后再开据有效增值税专用发票，一票结算，招标方在收到发票后次月电汇付款。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1、项目设置：将公司生产的螺纹钢、棒材、锚杆钢、钢坯、锻材、盘螺、盘圆、热轧电杆钢、生铁等产成品运至各销售目的地。招标运输线路总计86条，合计每月运量约2.3万吨。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2、投标人必须具备独立法人资格、道路货物运输资质，并能提供运输增值税专用发票。凡具有较强的运输保障能力，社会信誉好的运输单位均可参加投标。</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运输目的地设置标准：副省级以上城市按区设置目的地含盖全区；地级市目的地设置原则上直接以该城市命名，含盖了市属所有城区；所有到县（含县级市）运输以县（市）名设置目的地，含盖全县（市）范围。若遇特殊情况（运距相差15%以上），直接以目的地地名设置，运距查询以百度地图为准。</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4、投标报价按照“附表”要求填写，报价含税（税率 9%）、货物保险费、杂费等各项费用，加盖公章并用信封封好，需准备电子版以U盘形式一并带入招标现场。</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5、车型选择的要求：以13米平板车为测算依据，车辆装载量按照国家相关政策规定设置，中标方需保证满足所承接招标方运输业务需求，提供的车辆及驾驶人员需具备合法、有效证照。</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中标方需无条件遵守招标方的各项规章制度，不得出现违反招标方规章制度的现象，如发现招标方有权考核，情节严重者与其终止合同。中标方在到达指定运输目的地前，应负责各个环节的组织和协调，办理相关手续，并对货物负全部责任。务必将承运货物保质、保量、按时、安全运达指定目的地。</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7、中标方接到发运计划后应及时安排运输车辆，在48小时之内需到指定库房装货，特殊情况下需在24小时内到指定库房装货。</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中标方根据招标方生产发运需求及时提供运输车辆，拒派或少派车辆，视为违约，招标方视情况每次考核1000-5000元。严重影响生产发运的将加倍考核，直至解除合同，造成招标方经济损失的应予赔偿。上述违约金支付，可在中标方履约保证金及双方运费结算款中核减。</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9、中标方需接受招标方根据生产和经营的需要，在合同执行过程中运输量增减调整，不得以此变更合同价格。</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10、费用按月结算，中标方每月10日前将用车部门核准出具的结算证明交运输部，经运输部核算金额后再开据有效增值税专用发票，一票结算，招标方在收到发票后次月电汇付款。</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中标方需交纳贰拾万元履约保证金（在招标方已有等额合同履约金的中标方可不再缴纳）。合同执行期结束，经双方确认无合同纠纷后，于30日内无息退还履约保证金，如果此时存在尚未解决合同争端，履约保证金的有效期将延长到上述争端最终解决且所有理赔完毕。中标方在合同履约过程中，如发生违约行为或管理不善引发安全事故，招标方有权终止双方合同并从合同履约保证金中予以相应考核处罚。</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12、评标标准：由招标委员会综合评分，各条招标运输线路评标得分排名第一的即为该条运输线路中标候选人。中标后弃标者，其所缴纳的保证金将不予退还。</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13、本期合同期限6个月：自2020年6月28日起至2020年12月28日止。</w:t>
      </w:r>
    </w:p>
    <w:p>
      <w:pPr>
        <w:spacing w:line="240" w:lineRule="auto"/>
        <w:rPr>
          <w:rFonts w:hint="eastAsia" w:ascii="宋体" w:hAnsi="宋体" w:eastAsia="宋体" w:cs="宋体"/>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十五、报价表</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tbl>
      <w:tblPr>
        <w:tblStyle w:val="6"/>
        <w:tblW w:w="10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3"/>
        <w:gridCol w:w="2755"/>
        <w:gridCol w:w="1418"/>
        <w:gridCol w:w="695"/>
        <w:gridCol w:w="3150"/>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jc w:val="center"/>
        </w:trPr>
        <w:tc>
          <w:tcPr>
            <w:tcW w:w="10123" w:type="dxa"/>
            <w:gridSpan w:val="6"/>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tabs>
                <w:tab w:val="left" w:pos="299"/>
              </w:tabs>
              <w:jc w:val="center"/>
              <w:textAlignment w:val="bottom"/>
              <w:rPr>
                <w:rFonts w:hint="eastAsia" w:ascii="宋体" w:hAnsi="宋体" w:eastAsia="宋体" w:cs="宋体"/>
                <w:b/>
                <w:i w:val="0"/>
                <w:color w:val="auto"/>
                <w:sz w:val="20"/>
                <w:szCs w:val="20"/>
                <w:highlight w:val="none"/>
                <w:u w:val="none"/>
                <w:lang w:eastAsia="zh-CN"/>
              </w:rPr>
            </w:pPr>
            <w:r>
              <w:rPr>
                <w:rFonts w:hint="eastAsia" w:ascii="宋体" w:hAnsi="宋体" w:cs="宋体"/>
                <w:b/>
                <w:i w:val="0"/>
                <w:color w:val="auto"/>
                <w:sz w:val="36"/>
                <w:szCs w:val="36"/>
                <w:highlight w:val="none"/>
                <w:u w:val="none"/>
                <w:lang w:val="en-US" w:eastAsia="zh-CN"/>
              </w:rPr>
              <w:t xml:space="preserve">    </w:t>
            </w:r>
            <w:r>
              <w:rPr>
                <w:rFonts w:hint="eastAsia" w:ascii="宋体" w:hAnsi="宋体" w:eastAsia="宋体" w:cs="宋体"/>
                <w:b/>
                <w:i w:val="0"/>
                <w:color w:val="auto"/>
                <w:sz w:val="36"/>
                <w:szCs w:val="36"/>
                <w:highlight w:val="none"/>
                <w:u w:val="none"/>
                <w:lang w:eastAsia="zh-CN"/>
              </w:rPr>
              <w:t>报 价 表</w:t>
            </w:r>
            <w:r>
              <w:rPr>
                <w:rFonts w:hint="eastAsia" w:ascii="宋体" w:hAnsi="宋体" w:eastAsia="宋体" w:cs="宋体"/>
                <w:b/>
                <w:i w:val="0"/>
                <w:color w:val="auto"/>
                <w:sz w:val="21"/>
                <w:szCs w:val="21"/>
                <w:highlight w:val="none"/>
                <w:u w:val="none"/>
                <w:lang w:eastAsia="zh-CN"/>
              </w:rPr>
              <w:t>（报价含税，税率：</w:t>
            </w:r>
            <w:r>
              <w:rPr>
                <w:rFonts w:hint="eastAsia" w:ascii="宋体" w:hAnsi="宋体" w:eastAsia="宋体" w:cs="宋体"/>
                <w:b/>
                <w:i w:val="0"/>
                <w:color w:val="auto"/>
                <w:sz w:val="21"/>
                <w:szCs w:val="21"/>
                <w:highlight w:val="none"/>
                <w:u w:val="single"/>
                <w:lang w:eastAsia="zh-CN"/>
              </w:rPr>
              <w:t>9%</w:t>
            </w:r>
            <w:r>
              <w:rPr>
                <w:rFonts w:hint="eastAsia" w:ascii="宋体" w:hAnsi="宋体" w:eastAsia="宋体" w:cs="宋体"/>
                <w:b/>
                <w:i w:val="0"/>
                <w:color w:val="auto"/>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275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b/>
                <w:i w:val="0"/>
                <w:color w:val="auto"/>
                <w:sz w:val="24"/>
                <w:szCs w:val="24"/>
                <w:highlight w:val="none"/>
                <w:u w:val="none"/>
              </w:rPr>
              <w:t xml:space="preserve">运输线路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（芜湖新兴—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tabs>
                <w:tab w:val="left" w:pos="299"/>
              </w:tabs>
              <w:jc w:val="center"/>
              <w:textAlignment w:val="bottom"/>
              <w:rPr>
                <w:rFonts w:hint="eastAsia" w:ascii="宋体" w:hAnsi="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eastAsia="zh-CN"/>
              </w:rPr>
              <w:t>含税报价</w:t>
            </w:r>
            <w:r>
              <w:rPr>
                <w:rFonts w:hint="eastAsia" w:ascii="宋体" w:hAnsi="宋体" w:cs="宋体"/>
                <w:b/>
                <w:i w:val="0"/>
                <w:color w:val="auto"/>
                <w:sz w:val="24"/>
                <w:szCs w:val="24"/>
                <w:highlight w:val="none"/>
                <w:u w:val="none"/>
                <w:lang w:val="en-US" w:eastAsia="zh-CN"/>
              </w:rPr>
              <w:t xml:space="preserve">      </w:t>
            </w:r>
            <w:r>
              <w:rPr>
                <w:rFonts w:hint="eastAsia" w:ascii="宋体" w:hAnsi="宋体" w:cs="宋体"/>
                <w:b/>
                <w:i w:val="0"/>
                <w:color w:val="auto"/>
                <w:sz w:val="24"/>
                <w:szCs w:val="24"/>
                <w:highlight w:val="none"/>
                <w:u w:val="none"/>
                <w:lang w:eastAsia="zh-CN"/>
              </w:rPr>
              <w:t>（元/吨）</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299"/>
              </w:tabs>
              <w:jc w:val="center"/>
              <w:textAlignment w:val="bottom"/>
              <w:rPr>
                <w:rFonts w:hint="eastAsia" w:ascii="宋体" w:hAnsi="宋体" w:cs="宋体"/>
                <w:b/>
                <w:i w:val="0"/>
                <w:color w:val="auto"/>
                <w:sz w:val="24"/>
                <w:szCs w:val="24"/>
                <w:highlight w:val="none"/>
                <w:u w:val="none"/>
                <w:lang w:eastAsia="zh-CN"/>
              </w:rPr>
            </w:pPr>
            <w:r>
              <w:rPr>
                <w:rFonts w:hint="eastAsia" w:ascii="宋体" w:hAnsi="宋体" w:cs="宋体"/>
                <w:b/>
                <w:i w:val="0"/>
                <w:color w:val="auto"/>
                <w:sz w:val="24"/>
                <w:szCs w:val="24"/>
                <w:highlight w:val="none"/>
                <w:u w:val="none"/>
                <w:lang w:val="en-US" w:eastAsia="zh-CN"/>
              </w:rPr>
              <w:t>序号</w:t>
            </w:r>
          </w:p>
        </w:tc>
        <w:tc>
          <w:tcPr>
            <w:tcW w:w="31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b/>
                <w:i w:val="0"/>
                <w:color w:val="auto"/>
                <w:sz w:val="24"/>
                <w:szCs w:val="24"/>
                <w:highlight w:val="none"/>
                <w:u w:val="none"/>
              </w:rPr>
              <w:t xml:space="preserve">运输线路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（芜湖新兴—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tabs>
                <w:tab w:val="left" w:pos="299"/>
              </w:tabs>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b/>
                <w:i w:val="0"/>
                <w:color w:val="auto"/>
                <w:sz w:val="24"/>
                <w:szCs w:val="24"/>
                <w:highlight w:val="none"/>
                <w:u w:val="none"/>
                <w:lang w:eastAsia="zh-CN"/>
              </w:rPr>
              <w:t>含税报价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1</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芜湖市三山区新胜路</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31</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安徽省淮北市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2</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芜湖市弋江区</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32</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安徽省萧县</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3</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芜湖市镜湖区</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33</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江苏省南京市溧水区</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4</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芜湖市鸠江区（江南）</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34</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江苏省南京市浦口区</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5</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安徽省芜湖县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35</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江苏省溧阳市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6</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安徽省当涂县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36</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江苏省镇江市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7</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安徽省铜陵市</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37</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江苏省丹阳市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8</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安徽省马鞍山市</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38</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江苏省盱眙县</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9</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安徽省宣城市宣州区</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b w:val="0"/>
                <w:i w:val="0"/>
                <w:snapToGrid/>
                <w:color w:val="000000"/>
                <w:sz w:val="24"/>
                <w:u w:val="none"/>
                <w:lang w:val="en-US" w:eastAsia="zh-CN"/>
              </w:rPr>
              <w:t>39</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江苏省江阴市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10</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安徽省含山县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40</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江苏省常州、无锡市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11</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安徽省和县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41</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江苏省靖江市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12</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安徽省池州市</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42</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江苏省泰州市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13</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安徽省肥东县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43</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江苏省张家港市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14</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安徽省郎溪县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44</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江苏省苏州市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15</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安徽省铜陵市铜山镇</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45</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江苏省常熟市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16</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安徽省庐江县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46</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江苏省太仓市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17</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安徽省黄山市黄山区</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47</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江苏省海安市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18</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安徽省广德县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48</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江苏省昆山市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19</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安徽省合肥市</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49</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江苏省海门市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20</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安徽省安庆市</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50</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江苏省如东县</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21</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安徽省肥西县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51</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江苏省徐州市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22</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安徽省来安县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52</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江苏省连云港市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23</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安徽省舒城县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53</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浙江省湖州市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24</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安徽省黟县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54</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浙江省德清县</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25</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安徽省怀宁县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55</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浙江省杭州市余杭区</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26</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安徽省长丰县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56</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浙江省杭州市萧山区</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27</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安徽省淮南市</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57</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浙江省杭州市富阳区</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28</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安徽省凤台县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58</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浙江省嘉善县</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29</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安徽省祁门县</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59</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浙江省平湖市</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30</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安徽省宿州市</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60</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浙江省海盐县</w:t>
            </w:r>
          </w:p>
        </w:tc>
        <w:tc>
          <w:tcPr>
            <w:tcW w:w="143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tbl>
      <w:tblPr>
        <w:tblStyle w:val="6"/>
        <w:tblW w:w="10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9"/>
        <w:gridCol w:w="2768"/>
        <w:gridCol w:w="1446"/>
        <w:gridCol w:w="722"/>
        <w:gridCol w:w="3137"/>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1" w:hRule="atLeast"/>
        </w:trPr>
        <w:tc>
          <w:tcPr>
            <w:tcW w:w="10136" w:type="dxa"/>
            <w:gridSpan w:val="6"/>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b/>
                <w:i w:val="0"/>
                <w:color w:val="auto"/>
                <w:sz w:val="36"/>
                <w:szCs w:val="36"/>
                <w:highlight w:val="none"/>
                <w:u w:val="none"/>
                <w:lang w:val="en-US" w:eastAsia="zh-CN"/>
              </w:rPr>
              <w:t xml:space="preserve">    </w:t>
            </w:r>
            <w:r>
              <w:rPr>
                <w:rFonts w:hint="eastAsia" w:ascii="宋体" w:hAnsi="宋体" w:eastAsia="宋体" w:cs="宋体"/>
                <w:b/>
                <w:i w:val="0"/>
                <w:color w:val="auto"/>
                <w:sz w:val="36"/>
                <w:szCs w:val="36"/>
                <w:highlight w:val="none"/>
                <w:u w:val="none"/>
                <w:lang w:eastAsia="zh-CN"/>
              </w:rPr>
              <w:t>报 价 表</w:t>
            </w:r>
            <w:r>
              <w:rPr>
                <w:rFonts w:hint="eastAsia" w:ascii="宋体" w:hAnsi="宋体" w:eastAsia="宋体" w:cs="宋体"/>
                <w:b/>
                <w:i w:val="0"/>
                <w:color w:val="auto"/>
                <w:sz w:val="21"/>
                <w:szCs w:val="21"/>
                <w:highlight w:val="none"/>
                <w:u w:val="none"/>
                <w:lang w:eastAsia="zh-CN"/>
              </w:rPr>
              <w:t>（报价含税，税率：</w:t>
            </w:r>
            <w:r>
              <w:rPr>
                <w:rFonts w:hint="eastAsia" w:ascii="宋体" w:hAnsi="宋体" w:eastAsia="宋体" w:cs="宋体"/>
                <w:b/>
                <w:i w:val="0"/>
                <w:color w:val="auto"/>
                <w:sz w:val="21"/>
                <w:szCs w:val="21"/>
                <w:highlight w:val="none"/>
                <w:u w:val="single"/>
                <w:lang w:eastAsia="zh-CN"/>
              </w:rPr>
              <w:t>9%</w:t>
            </w:r>
            <w:r>
              <w:rPr>
                <w:rFonts w:hint="eastAsia" w:ascii="宋体" w:hAnsi="宋体" w:eastAsia="宋体" w:cs="宋体"/>
                <w:b/>
                <w:i w:val="0"/>
                <w:color w:val="auto"/>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4"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宋体" w:hAnsi="宋体"/>
                <w:b w:val="0"/>
                <w:i w:val="0"/>
                <w:snapToGrid/>
                <w:color w:val="000000"/>
                <w:sz w:val="24"/>
                <w:szCs w:val="24"/>
                <w:u w:val="no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7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auto"/>
                <w:sz w:val="24"/>
                <w:szCs w:val="24"/>
                <w:highlight w:val="none"/>
                <w:u w:val="none"/>
              </w:rPr>
              <w:t xml:space="preserve">运输线路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（芜湖新兴—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tabs>
                <w:tab w:val="left" w:pos="299"/>
              </w:tabs>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b/>
                <w:i w:val="0"/>
                <w:color w:val="auto"/>
                <w:sz w:val="24"/>
                <w:szCs w:val="24"/>
                <w:highlight w:val="none"/>
                <w:u w:val="none"/>
                <w:lang w:eastAsia="zh-CN"/>
              </w:rPr>
              <w:t>含税报价</w:t>
            </w:r>
            <w:r>
              <w:rPr>
                <w:rFonts w:hint="eastAsia" w:ascii="宋体" w:hAnsi="宋体" w:cs="宋体"/>
                <w:b/>
                <w:i w:val="0"/>
                <w:color w:val="auto"/>
                <w:sz w:val="24"/>
                <w:szCs w:val="24"/>
                <w:highlight w:val="none"/>
                <w:u w:val="none"/>
                <w:lang w:val="en-US" w:eastAsia="zh-CN"/>
              </w:rPr>
              <w:t xml:space="preserve">      </w:t>
            </w:r>
            <w:r>
              <w:rPr>
                <w:rFonts w:hint="eastAsia" w:ascii="宋体" w:hAnsi="宋体" w:cs="宋体"/>
                <w:b/>
                <w:i w:val="0"/>
                <w:color w:val="auto"/>
                <w:sz w:val="24"/>
                <w:szCs w:val="24"/>
                <w:highlight w:val="none"/>
                <w:u w:val="none"/>
                <w:lang w:eastAsia="zh-CN"/>
              </w:rPr>
              <w:t>（元/吨）</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299"/>
              </w:tabs>
              <w:jc w:val="center"/>
              <w:textAlignment w:val="bottom"/>
              <w:rPr>
                <w:rFonts w:hint="default" w:ascii="宋体" w:hAnsi="宋体" w:eastAsia="宋体"/>
                <w:b w:val="0"/>
                <w:i w:val="0"/>
                <w:snapToGrid/>
                <w:color w:val="auto"/>
                <w:sz w:val="24"/>
                <w:szCs w:val="24"/>
                <w:u w:val="none"/>
                <w:lang w:eastAsia="zh-CN"/>
              </w:rPr>
            </w:pPr>
            <w:r>
              <w:rPr>
                <w:rFonts w:hint="eastAsia" w:ascii="宋体" w:hAnsi="宋体" w:cs="宋体"/>
                <w:b/>
                <w:i w:val="0"/>
                <w:color w:val="auto"/>
                <w:sz w:val="24"/>
                <w:szCs w:val="24"/>
                <w:highlight w:val="none"/>
                <w:u w:val="none"/>
                <w:lang w:val="en-US" w:eastAsia="zh-CN"/>
              </w:rPr>
              <w:t>序号</w:t>
            </w:r>
          </w:p>
        </w:tc>
        <w:tc>
          <w:tcPr>
            <w:tcW w:w="313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b/>
                <w:i w:val="0"/>
                <w:color w:val="auto"/>
                <w:sz w:val="24"/>
                <w:szCs w:val="24"/>
                <w:highlight w:val="none"/>
                <w:u w:val="none"/>
              </w:rPr>
              <w:t xml:space="preserve">运输线路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（芜湖新兴—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tabs>
                <w:tab w:val="left" w:pos="299"/>
              </w:tabs>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b/>
                <w:i w:val="0"/>
                <w:color w:val="auto"/>
                <w:sz w:val="24"/>
                <w:szCs w:val="24"/>
                <w:highlight w:val="none"/>
                <w:u w:val="none"/>
                <w:lang w:eastAsia="zh-CN"/>
              </w:rPr>
              <w:t>含税报价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61</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浙江省绍兴市</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74</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上海市崇明区</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62</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浙江省诸暨市</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75</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湖北省麻城市</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63</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浙江省余姚市</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76</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江西省鄱阳县</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64</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浙江省嵊州市</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77</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江西省余干县</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65</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浙江省宁波市鄞州区</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78</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江西省南昌市</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66</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浙江省金华市</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79</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江西省鹰潭市</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67</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浙江省宁波市镇海区</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80</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江西省贵溪市</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68</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浙江省武义县</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81</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江西省丰城市</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69</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浙江省临海市</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82</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河南省永城市</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70</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浙江省乐清市</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83</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河南省平顶山市</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71</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浙江省温岭市</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84</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河南省汝州市</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72</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浙江省玉环县</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85</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山东省济南市章丘区</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73</w:t>
            </w:r>
          </w:p>
        </w:tc>
        <w:tc>
          <w:tcPr>
            <w:tcW w:w="2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浙江省瑞安市</w:t>
            </w:r>
          </w:p>
        </w:tc>
        <w:tc>
          <w:tcPr>
            <w:tcW w:w="1446"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722"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86</w:t>
            </w:r>
          </w:p>
        </w:tc>
        <w:tc>
          <w:tcPr>
            <w:tcW w:w="3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000000"/>
                <w:kern w:val="0"/>
                <w:sz w:val="22"/>
                <w:szCs w:val="22"/>
                <w:u w:val="none"/>
                <w:lang w:val="en-US" w:eastAsia="zh-CN" w:bidi="ar"/>
              </w:rPr>
              <w:t>四川省犍为县</w:t>
            </w:r>
          </w:p>
        </w:tc>
        <w:tc>
          <w:tcPr>
            <w:tcW w:w="1404" w:type="dxa"/>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jc w:val="center"/>
        <w:rPr>
          <w:rFonts w:hint="default" w:eastAsia="宋体"/>
          <w:sz w:val="28"/>
          <w:szCs w:val="28"/>
          <w:u w:val="single"/>
          <w:lang w:val="en-US" w:eastAsia="zh-CN"/>
        </w:rPr>
      </w:pPr>
      <w:r>
        <w:rPr>
          <w:rFonts w:hint="eastAsia"/>
          <w:sz w:val="28"/>
          <w:szCs w:val="28"/>
          <w:lang w:val="en-US" w:eastAsia="zh-CN"/>
        </w:rPr>
        <w:t xml:space="preserve"> </w:t>
      </w:r>
      <w:r>
        <w:rPr>
          <w:rFonts w:hint="eastAsia"/>
          <w:sz w:val="28"/>
          <w:szCs w:val="28"/>
        </w:rPr>
        <w:t>报价单位（加盖公章）：</w:t>
      </w:r>
      <w:r>
        <w:rPr>
          <w:rFonts w:hint="eastAsia"/>
          <w:sz w:val="28"/>
          <w:szCs w:val="28"/>
          <w:u w:val="single"/>
          <w:lang w:val="en-US" w:eastAsia="zh-CN"/>
        </w:rPr>
        <w:t xml:space="preserve">                             </w:t>
      </w:r>
    </w:p>
    <w:p>
      <w:pPr>
        <w:ind w:firstLine="2520" w:firstLineChars="900"/>
        <w:jc w:val="both"/>
        <w:rPr>
          <w:rFonts w:hint="default" w:eastAsia="宋体"/>
          <w:sz w:val="28"/>
          <w:szCs w:val="28"/>
          <w:u w:val="single"/>
          <w:lang w:val="en-US" w:eastAsia="zh-CN"/>
        </w:rPr>
      </w:pPr>
      <w:r>
        <w:rPr>
          <w:rFonts w:hint="eastAsia"/>
          <w:sz w:val="28"/>
          <w:szCs w:val="28"/>
        </w:rPr>
        <w:t>法人</w:t>
      </w:r>
      <w:r>
        <w:rPr>
          <w:rFonts w:hint="eastAsia"/>
          <w:sz w:val="28"/>
          <w:szCs w:val="28"/>
          <w:lang w:eastAsia="zh-CN"/>
        </w:rPr>
        <w:t>代表</w:t>
      </w:r>
      <w:r>
        <w:rPr>
          <w:rFonts w:hint="eastAsia"/>
          <w:sz w:val="28"/>
          <w:szCs w:val="28"/>
        </w:rPr>
        <w:t>或授权代理人（签字）：</w:t>
      </w:r>
      <w:r>
        <w:rPr>
          <w:rFonts w:hint="eastAsia"/>
          <w:sz w:val="28"/>
          <w:szCs w:val="28"/>
          <w:u w:val="single"/>
          <w:lang w:val="en-US" w:eastAsia="zh-CN"/>
        </w:rPr>
        <w:t xml:space="preserve">                           </w:t>
      </w:r>
    </w:p>
    <w:p>
      <w:pPr>
        <w:jc w:val="center"/>
        <w:rPr>
          <w:rFonts w:hint="default" w:ascii="宋体" w:hAnsi="宋体" w:eastAsia="宋体"/>
          <w:bCs/>
          <w:lang w:val="en-US" w:eastAsia="zh-CN"/>
        </w:rPr>
      </w:pPr>
      <w:r>
        <w:rPr>
          <w:rFonts w:hint="eastAsia"/>
          <w:sz w:val="28"/>
          <w:szCs w:val="28"/>
          <w:lang w:val="en-US" w:eastAsia="zh-CN"/>
        </w:rPr>
        <w:t xml:space="preserve">          报价</w:t>
      </w:r>
      <w:r>
        <w:rPr>
          <w:rFonts w:hint="eastAsia"/>
          <w:sz w:val="28"/>
          <w:szCs w:val="28"/>
        </w:rPr>
        <w:t>日期：</w:t>
      </w:r>
      <w:r>
        <w:rPr>
          <w:rFonts w:hint="eastAsia"/>
          <w:sz w:val="28"/>
          <w:szCs w:val="28"/>
          <w:u w:val="single"/>
          <w:lang w:val="en-US" w:eastAsia="zh-CN"/>
        </w:rPr>
        <w:t xml:space="preserve">            </w:t>
      </w:r>
      <w:bookmarkStart w:id="0" w:name="_GoBack"/>
      <w:bookmarkEnd w:id="0"/>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b/>
          <w:bCs/>
          <w:sz w:val="36"/>
          <w:szCs w:val="36"/>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hint="eastAsia" w:ascii="宋体" w:hAnsi="宋体"/>
          <w:b/>
          <w:bCs/>
          <w:u w:val="single"/>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27</w:t>
      </w:r>
      <w:r>
        <w:rPr>
          <w:rFonts w:ascii="宋体" w:hAnsi="宋体"/>
          <w:color w:val="auto"/>
          <w:sz w:val="24"/>
          <w:szCs w:val="24"/>
        </w:rPr>
        <w:t>日</w:t>
      </w:r>
    </w:p>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48E7AE87"/>
    <w:multiLevelType w:val="singleLevel"/>
    <w:tmpl w:val="48E7AE87"/>
    <w:lvl w:ilvl="0" w:tentative="0">
      <w:start w:val="1"/>
      <w:numFmt w:val="decimal"/>
      <w:lvlText w:val="%1."/>
      <w:lvlJc w:val="left"/>
      <w:pPr>
        <w:ind w:left="425" w:hanging="425"/>
      </w:pPr>
      <w:rPr>
        <w:rFonts w:hint="default"/>
      </w:rPr>
    </w:lvl>
  </w:abstractNum>
  <w:abstractNum w:abstractNumId="7">
    <w:nsid w:val="4C2AC38A"/>
    <w:multiLevelType w:val="singleLevel"/>
    <w:tmpl w:val="4C2AC38A"/>
    <w:lvl w:ilvl="0" w:tentative="0">
      <w:start w:val="1"/>
      <w:numFmt w:val="decimal"/>
      <w:suff w:val="space"/>
      <w:lvlText w:val="%1."/>
      <w:lvlJc w:val="left"/>
    </w:lvl>
  </w:abstractNum>
  <w:abstractNum w:abstractNumId="8">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num>
  <w:num w:numId="3">
    <w:abstractNumId w:val="2"/>
  </w:num>
  <w:num w:numId="4">
    <w:abstractNumId w:val="5"/>
  </w:num>
  <w:num w:numId="5">
    <w:abstractNumId w:val="3"/>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10772EB5"/>
    <w:rsid w:val="11DE5603"/>
    <w:rsid w:val="13BA318B"/>
    <w:rsid w:val="1C28711D"/>
    <w:rsid w:val="1FC61767"/>
    <w:rsid w:val="234F5E22"/>
    <w:rsid w:val="23F27268"/>
    <w:rsid w:val="252D19D6"/>
    <w:rsid w:val="25A87FB8"/>
    <w:rsid w:val="2D230D73"/>
    <w:rsid w:val="30033579"/>
    <w:rsid w:val="323F2693"/>
    <w:rsid w:val="34FF5DC8"/>
    <w:rsid w:val="390D4485"/>
    <w:rsid w:val="3A4B4F63"/>
    <w:rsid w:val="3F114200"/>
    <w:rsid w:val="3F917F29"/>
    <w:rsid w:val="41417945"/>
    <w:rsid w:val="4F5C5DBF"/>
    <w:rsid w:val="513C3EF8"/>
    <w:rsid w:val="556B3A6A"/>
    <w:rsid w:val="589B3C10"/>
    <w:rsid w:val="5B2D6E0C"/>
    <w:rsid w:val="5DA113C7"/>
    <w:rsid w:val="603E0EA5"/>
    <w:rsid w:val="607D1710"/>
    <w:rsid w:val="62037EB8"/>
    <w:rsid w:val="62CA5CF7"/>
    <w:rsid w:val="658B06C4"/>
    <w:rsid w:val="6D663618"/>
    <w:rsid w:val="71CE0F14"/>
    <w:rsid w:val="76892D68"/>
    <w:rsid w:val="772E1C21"/>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cp:lastPrinted>2020-05-27T06:06:06Z</cp:lastPrinted>
  <dcterms:modified xsi:type="dcterms:W3CDTF">2020-05-27T06:15:26Z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