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36"/>
          <w:szCs w:val="36"/>
          <w:lang w:val="en-US" w:eastAsia="zh-CN"/>
        </w:rPr>
      </w:pPr>
      <w:r>
        <w:rPr>
          <w:rFonts w:hint="eastAsia" w:ascii="宋体" w:hAnsi="宋体"/>
          <w:b/>
          <w:sz w:val="36"/>
          <w:szCs w:val="36"/>
        </w:rPr>
        <w:t>芜湖新兴铸管</w:t>
      </w:r>
      <w:r>
        <w:rPr>
          <w:rFonts w:hint="eastAsia" w:ascii="宋体" w:hAnsi="宋体"/>
          <w:b/>
          <w:sz w:val="36"/>
          <w:szCs w:val="36"/>
          <w:lang w:val="en-US" w:eastAsia="zh-CN"/>
        </w:rPr>
        <w:t>有限责任公司</w:t>
      </w:r>
    </w:p>
    <w:p>
      <w:pPr>
        <w:jc w:val="center"/>
        <w:rPr>
          <w:rFonts w:hint="eastAsia" w:ascii="宋体" w:hAnsi="宋体"/>
          <w:b/>
          <w:sz w:val="36"/>
          <w:szCs w:val="36"/>
          <w:lang w:val="en-US" w:eastAsia="zh-CN"/>
        </w:rPr>
      </w:pPr>
      <w:r>
        <w:rPr>
          <w:rFonts w:hint="eastAsia" w:ascii="宋体" w:hAnsi="宋体"/>
          <w:b/>
          <w:sz w:val="36"/>
          <w:szCs w:val="36"/>
          <w:lang w:val="en-US" w:eastAsia="zh-CN"/>
        </w:rPr>
        <w:t>炼铁部料场、铸铁用自卸车项目</w:t>
      </w:r>
    </w:p>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2020</w:t>
      </w:r>
      <w:r>
        <w:rPr>
          <w:rFonts w:ascii="宋体" w:hAnsi="宋体"/>
        </w:rPr>
        <w:t>年</w:t>
      </w:r>
      <w:r>
        <w:rPr>
          <w:rFonts w:hint="eastAsia" w:ascii="宋体" w:hAnsi="宋体"/>
          <w:lang w:val="en-US" w:eastAsia="zh-CN"/>
        </w:rPr>
        <w:t>6</w:t>
      </w:r>
      <w:r>
        <w:rPr>
          <w:rFonts w:ascii="宋体" w:hAnsi="宋体"/>
          <w:color w:val="000000"/>
        </w:rPr>
        <w:t>月</w:t>
      </w:r>
      <w:r>
        <w:rPr>
          <w:rFonts w:hint="eastAsia" w:ascii="宋体" w:hAnsi="宋体"/>
          <w:color w:val="000000"/>
          <w:lang w:val="en-US" w:eastAsia="zh-CN"/>
        </w:rPr>
        <w:t>16</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YSQC202007002LTBLCZTYZXCXM</w:t>
      </w:r>
    </w:p>
    <w:p>
      <w:pPr>
        <w:ind w:firstLine="480" w:firstLineChars="200"/>
        <w:jc w:val="both"/>
        <w:rPr>
          <w:rFonts w:hint="eastAsia" w:ascii="宋体" w:hAnsi="宋体"/>
        </w:rPr>
      </w:pPr>
      <w:r>
        <w:rPr>
          <w:rFonts w:hint="eastAsia" w:ascii="宋体" w:hAnsi="宋体"/>
          <w:kern w:val="2"/>
          <w:sz w:val="24"/>
          <w:szCs w:val="24"/>
          <w:lang w:val="en-US" w:eastAsia="zh-CN" w:bidi="ar-SA"/>
        </w:rPr>
        <w:t>我公司将于近日对</w:t>
      </w:r>
      <w:r>
        <w:rPr>
          <w:rFonts w:hint="eastAsia" w:ascii="宋体" w:hAnsi="宋体"/>
          <w:b/>
          <w:bCs/>
          <w:color w:val="FF0000"/>
          <w:u w:val="none"/>
          <w:lang w:val="en-US" w:eastAsia="zh-CN"/>
        </w:rPr>
        <w:t>炼铁部料场、铸铁用自卸车项目</w:t>
      </w:r>
      <w:r>
        <w:rPr>
          <w:rFonts w:hint="eastAsia" w:ascii="宋体" w:hAnsi="宋体"/>
          <w:kern w:val="2"/>
          <w:sz w:val="24"/>
          <w:szCs w:val="24"/>
          <w:lang w:val="en-US" w:eastAsia="zh-CN" w:bidi="ar-SA"/>
        </w:rPr>
        <w:t>进行招标，有意向合作的公司可与我公司联系进行</w:t>
      </w:r>
      <w:r>
        <w:rPr>
          <w:rFonts w:hint="eastAsia" w:ascii="宋体" w:hAnsi="宋体"/>
        </w:rPr>
        <w:t>网上报名者</w:t>
      </w:r>
      <w:r>
        <w:rPr>
          <w:rFonts w:hint="eastAsia" w:ascii="宋体" w:hAnsi="宋体"/>
          <w:lang w:eastAsia="zh-CN"/>
        </w:rPr>
        <w:t>（</w:t>
      </w:r>
      <w:r>
        <w:rPr>
          <w:rFonts w:hint="eastAsia" w:ascii="宋体" w:hAnsi="宋体"/>
          <w:lang w:val="en-US" w:eastAsia="zh-CN"/>
        </w:rPr>
        <w:t>疫情期间谢绝现场报名</w:t>
      </w:r>
      <w:r>
        <w:rPr>
          <w:rFonts w:hint="eastAsia" w:ascii="宋体" w:hAnsi="宋体"/>
          <w:lang w:eastAsia="zh-CN"/>
        </w:rPr>
        <w:t>）</w:t>
      </w:r>
      <w:r>
        <w:rPr>
          <w:rFonts w:hint="eastAsia" w:ascii="宋体" w:hAnsi="宋体"/>
        </w:rPr>
        <w:t>，请按要求填写投标报名函，并附上相关资质及业绩，</w:t>
      </w:r>
      <w:r>
        <w:rPr>
          <w:rFonts w:hint="eastAsia" w:ascii="宋体" w:hAnsi="宋体"/>
          <w:lang w:val="en-US" w:eastAsia="zh-CN"/>
        </w:rPr>
        <w:t>公平交易承诺函（</w:t>
      </w:r>
      <w:r>
        <w:rPr>
          <w:rFonts w:hint="eastAsia" w:ascii="宋体" w:hAnsi="宋体"/>
        </w:rPr>
        <w:t>加盖公章</w:t>
      </w:r>
      <w:r>
        <w:rPr>
          <w:rFonts w:hint="eastAsia" w:ascii="宋体" w:hAnsi="宋体"/>
          <w:lang w:eastAsia="zh-CN"/>
        </w:rPr>
        <w:t>）</w:t>
      </w:r>
      <w:r>
        <w:rPr>
          <w:rFonts w:hint="eastAsia" w:ascii="宋体" w:hAnsi="宋体"/>
        </w:rPr>
        <w:t>扫描后发至</w:t>
      </w:r>
      <w:r>
        <w:rPr>
          <w:rFonts w:hint="eastAsia" w:ascii="宋体" w:hAnsi="宋体"/>
          <w:lang w:val="en-US" w:eastAsia="zh-CN"/>
        </w:rPr>
        <w:t>陈凯</w:t>
      </w:r>
      <w:r>
        <w:rPr>
          <w:rFonts w:hint="eastAsia" w:ascii="宋体" w:hAnsi="宋体"/>
        </w:rPr>
        <w:t>邮箱。</w:t>
      </w:r>
    </w:p>
    <w:p>
      <w:pPr>
        <w:widowControl w:val="0"/>
        <w:autoSpaceDE w:val="0"/>
        <w:spacing w:line="240" w:lineRule="auto"/>
        <w:ind w:firstLine="480" w:firstLineChars="200"/>
        <w:jc w:val="both"/>
        <w:rPr>
          <w:rFonts w:hint="eastAsia" w:ascii="宋体" w:hAnsi="宋体" w:cs="宋体"/>
        </w:rPr>
      </w:pPr>
      <w:r>
        <w:rPr>
          <w:rFonts w:hint="eastAsia" w:ascii="宋体" w:hAnsi="宋体" w:cs="宋体"/>
        </w:rPr>
        <w:t>项目业务内容：</w:t>
      </w:r>
    </w:p>
    <w:p>
      <w:pPr>
        <w:ind w:firstLine="480" w:firstLineChars="200"/>
        <w:jc w:val="both"/>
        <w:rPr>
          <w:rFonts w:hint="eastAsia" w:ascii="宋体" w:hAnsi="宋体"/>
          <w:lang w:val="en-US" w:eastAsia="zh-CN"/>
        </w:rPr>
      </w:pPr>
      <w:r>
        <w:rPr>
          <w:rFonts w:hint="eastAsia" w:ascii="宋体" w:hAnsi="宋体"/>
          <w:lang w:eastAsia="zh-CN"/>
        </w:rPr>
        <w:t>负责</w:t>
      </w:r>
      <w:r>
        <w:rPr>
          <w:rFonts w:hint="eastAsia" w:ascii="宋体" w:hAnsi="宋体"/>
        </w:rPr>
        <w:t>炼铁</w:t>
      </w:r>
      <w:r>
        <w:rPr>
          <w:rFonts w:hint="eastAsia" w:ascii="宋体" w:hAnsi="宋体"/>
          <w:lang w:eastAsia="zh-CN"/>
        </w:rPr>
        <w:t>部</w:t>
      </w:r>
      <w:r>
        <w:rPr>
          <w:rFonts w:hint="eastAsia" w:ascii="宋体" w:hAnsi="宋体"/>
        </w:rPr>
        <w:t>原</w:t>
      </w:r>
      <w:r>
        <w:rPr>
          <w:rFonts w:hint="eastAsia" w:ascii="宋体" w:hAnsi="宋体"/>
          <w:lang w:eastAsia="zh-CN"/>
        </w:rPr>
        <w:t>、</w:t>
      </w:r>
      <w:r>
        <w:rPr>
          <w:rFonts w:hint="eastAsia" w:ascii="宋体" w:hAnsi="宋体"/>
        </w:rPr>
        <w:t>燃料倒运</w:t>
      </w:r>
      <w:r>
        <w:rPr>
          <w:rFonts w:hint="eastAsia" w:ascii="宋体" w:hAnsi="宋体"/>
          <w:lang w:eastAsia="zh-CN"/>
        </w:rPr>
        <w:t>（</w:t>
      </w:r>
      <w:r>
        <w:rPr>
          <w:rFonts w:hint="eastAsia" w:ascii="宋体" w:hAnsi="宋体"/>
          <w:lang w:val="en-US" w:eastAsia="zh-CN"/>
        </w:rPr>
        <w:t>3部三轴或四轴重型自卸车</w:t>
      </w:r>
      <w:r>
        <w:rPr>
          <w:rFonts w:hint="eastAsia" w:ascii="宋体" w:hAnsi="宋体"/>
          <w:lang w:eastAsia="zh-CN"/>
        </w:rPr>
        <w:t>），两座高炉及</w:t>
      </w:r>
      <w:r>
        <w:rPr>
          <w:rFonts w:hint="eastAsia" w:ascii="宋体" w:hAnsi="宋体"/>
        </w:rPr>
        <w:t>铸铁渣铁倒运</w:t>
      </w:r>
      <w:r>
        <w:rPr>
          <w:rFonts w:hint="eastAsia" w:ascii="宋体" w:hAnsi="宋体"/>
          <w:lang w:eastAsia="zh-CN"/>
        </w:rPr>
        <w:t>（</w:t>
      </w:r>
      <w:r>
        <w:rPr>
          <w:rFonts w:hint="eastAsia" w:ascii="宋体" w:hAnsi="宋体"/>
          <w:lang w:val="en-US" w:eastAsia="zh-CN"/>
        </w:rPr>
        <w:t>1部</w:t>
      </w:r>
      <w:r>
        <w:rPr>
          <w:rFonts w:hint="eastAsia" w:ascii="宋体" w:hAnsi="宋体"/>
          <w:lang w:eastAsia="zh-CN"/>
        </w:rPr>
        <w:t>两轴自卸车），厂区内</w:t>
      </w:r>
      <w:r>
        <w:rPr>
          <w:rFonts w:hint="eastAsia" w:ascii="宋体" w:hAnsi="宋体"/>
          <w:lang w:val="en-US" w:eastAsia="zh-CN"/>
        </w:rPr>
        <w:t>24小时作业。</w:t>
      </w:r>
    </w:p>
    <w:p>
      <w:pPr>
        <w:ind w:firstLine="480" w:firstLineChars="200"/>
        <w:jc w:val="both"/>
        <w:rPr>
          <w:rFonts w:hint="default" w:ascii="宋体" w:hAnsi="宋体"/>
          <w:lang w:val="en-US" w:eastAsia="zh-CN"/>
        </w:rPr>
      </w:pPr>
    </w:p>
    <w:p>
      <w:pPr>
        <w:ind w:firstLine="480" w:firstLineChars="200"/>
        <w:jc w:val="both"/>
        <w:rPr>
          <w:rFonts w:hint="eastAsia" w:ascii="宋体" w:hAnsi="宋体"/>
        </w:rPr>
      </w:pPr>
      <w:r>
        <w:rPr>
          <w:rFonts w:hint="eastAsia" w:ascii="宋体" w:hAnsi="宋体"/>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工</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eastAsia" w:ascii="宋体" w:hAnsi="宋体"/>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陈  工  </w:t>
      </w:r>
      <w:r>
        <w:rPr>
          <w:rFonts w:hint="eastAsia" w:ascii="宋体" w:hAnsi="宋体"/>
        </w:rPr>
        <w:t xml:space="preserve">   </w:t>
      </w:r>
      <w:r>
        <w:rPr>
          <w:rFonts w:hint="eastAsia" w:ascii="宋体" w:hAnsi="宋体"/>
          <w:lang w:val="en-US" w:eastAsia="zh-CN"/>
        </w:rPr>
        <w:t xml:space="preserve"> 18955389312</w:t>
      </w:r>
      <w:r>
        <w:rPr>
          <w:rFonts w:hint="eastAsia" w:ascii="宋体" w:hAnsi="宋体" w:eastAsia="宋体" w:cs="宋体"/>
          <w:b w:val="0"/>
          <w:bCs w:val="0"/>
          <w:kern w:val="2"/>
          <w:sz w:val="24"/>
          <w:szCs w:val="24"/>
          <w:lang w:val="en-US" w:eastAsia="zh-CN" w:bidi="ar-SA"/>
        </w:rPr>
        <w:t xml:space="preserve">  </w:t>
      </w: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2020</w:t>
      </w:r>
      <w:r>
        <w:rPr>
          <w:rFonts w:ascii="宋体" w:hAnsi="宋体"/>
          <w:b w:val="0"/>
          <w:bCs/>
          <w:color w:val="auto"/>
        </w:rPr>
        <w:t>年</w:t>
      </w:r>
      <w:r>
        <w:rPr>
          <w:rFonts w:hint="eastAsia" w:ascii="宋体" w:hAnsi="宋体"/>
          <w:b w:val="0"/>
          <w:bCs/>
          <w:color w:val="auto"/>
          <w:u w:val="single"/>
          <w:lang w:val="en-US" w:eastAsia="zh-CN"/>
        </w:rPr>
        <w:t>7</w:t>
      </w:r>
      <w:r>
        <w:rPr>
          <w:rFonts w:ascii="宋体" w:hAnsi="宋体"/>
          <w:b w:val="0"/>
          <w:bCs/>
          <w:color w:val="auto"/>
        </w:rPr>
        <w:t>月</w:t>
      </w:r>
      <w:r>
        <w:rPr>
          <w:rFonts w:hint="eastAsia" w:ascii="宋体" w:hAnsi="宋体"/>
          <w:b w:val="0"/>
          <w:bCs/>
          <w:color w:val="auto"/>
          <w:u w:val="single"/>
          <w:lang w:val="en-US" w:eastAsia="zh-CN"/>
        </w:rPr>
        <w:t>5</w:t>
      </w:r>
      <w:r>
        <w:rPr>
          <w:rFonts w:ascii="宋体" w:hAnsi="宋体"/>
          <w:b w:val="0"/>
          <w:bCs/>
          <w:color w:val="auto"/>
        </w:rPr>
        <w:t>日</w:t>
      </w:r>
      <w:r>
        <w:rPr>
          <w:rFonts w:hint="eastAsia" w:ascii="宋体" w:hAnsi="宋体"/>
          <w:b w:val="0"/>
          <w:bCs/>
          <w:color w:val="auto"/>
          <w:u w:val="single"/>
        </w:rPr>
        <w:t xml:space="preserve"> </w:t>
      </w:r>
      <w:r>
        <w:rPr>
          <w:rFonts w:hint="eastAsia" w:ascii="宋体" w:hAnsi="宋体"/>
          <w:b w:val="0"/>
          <w:bCs/>
          <w:color w:val="auto"/>
          <w:u w:val="single"/>
          <w:lang w:val="en-US" w:eastAsia="zh-CN"/>
        </w:rPr>
        <w:t>下午16:30</w:t>
      </w:r>
      <w:r>
        <w:rPr>
          <w:rFonts w:hint="eastAsia" w:ascii="宋体" w:hAnsi="宋体"/>
          <w:b w:val="0"/>
          <w:bCs/>
          <w:color w:val="auto"/>
        </w:rPr>
        <w:t>逾期不报名者将不允许参加招标。</w:t>
      </w:r>
    </w:p>
    <w:p>
      <w:pPr>
        <w:spacing w:line="300" w:lineRule="auto"/>
        <w:ind w:firstLine="600"/>
        <w:rPr>
          <w:rFonts w:hint="eastAsia" w:ascii="宋体" w:hAnsi="宋体"/>
          <w:b/>
          <w:color w:val="000000"/>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lang w:val="en-US" w:eastAsia="zh-CN"/>
        </w:rPr>
        <w:t>2020</w:t>
      </w:r>
      <w:r>
        <w:rPr>
          <w:rFonts w:ascii="宋体" w:hAnsi="宋体"/>
          <w:b w:val="0"/>
          <w:bCs/>
          <w:color w:val="auto"/>
        </w:rPr>
        <w:t>年</w:t>
      </w:r>
      <w:r>
        <w:rPr>
          <w:rFonts w:hint="eastAsia" w:ascii="宋体" w:hAnsi="宋体"/>
          <w:b w:val="0"/>
          <w:bCs/>
          <w:color w:val="auto"/>
          <w:u w:val="single"/>
          <w:lang w:val="en-US" w:eastAsia="zh-CN"/>
        </w:rPr>
        <w:t>7</w:t>
      </w:r>
      <w:r>
        <w:rPr>
          <w:rFonts w:ascii="宋体" w:hAnsi="宋体"/>
          <w:b w:val="0"/>
          <w:bCs/>
          <w:color w:val="auto"/>
        </w:rPr>
        <w:t>月</w:t>
      </w:r>
      <w:r>
        <w:rPr>
          <w:rFonts w:hint="eastAsia" w:ascii="宋体" w:hAnsi="宋体"/>
          <w:b w:val="0"/>
          <w:bCs/>
          <w:color w:val="auto"/>
          <w:u w:val="single"/>
          <w:lang w:val="en-US" w:eastAsia="zh-CN"/>
        </w:rPr>
        <w:t>9</w:t>
      </w:r>
      <w:r>
        <w:rPr>
          <w:rFonts w:ascii="宋体" w:hAnsi="宋体"/>
          <w:b w:val="0"/>
          <w:bCs/>
          <w:color w:val="auto"/>
        </w:rPr>
        <w:t>日</w:t>
      </w:r>
      <w:r>
        <w:rPr>
          <w:rFonts w:hint="eastAsia" w:ascii="宋体" w:hAnsi="宋体"/>
          <w:b w:val="0"/>
          <w:bCs/>
          <w:color w:val="auto"/>
          <w:u w:val="single"/>
          <w:lang w:val="en-US" w:eastAsia="zh-CN"/>
        </w:rPr>
        <w:t>9:30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rPr>
          <w:rFonts w:hint="eastAsia" w:ascii="宋体" w:hAnsi="宋体"/>
          <w:b/>
          <w:bCs/>
        </w:rPr>
      </w:pPr>
    </w:p>
    <w:p>
      <w:pPr>
        <w:rPr>
          <w:rFonts w:hint="eastAsia" w:ascii="宋体" w:hAnsi="宋体"/>
          <w:b/>
          <w:bCs/>
        </w:rPr>
      </w:pP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1"/>
        </w:numPr>
        <w:spacing w:line="240" w:lineRule="auto"/>
        <w:jc w:val="both"/>
        <w:rPr>
          <w:rFonts w:ascii="宋体" w:hAnsi="宋体"/>
          <w:b/>
        </w:rPr>
      </w:pPr>
      <w:r>
        <w:rPr>
          <w:rFonts w:hint="eastAsia" w:ascii="宋体" w:hAnsi="宋体"/>
          <w:b/>
        </w:rPr>
        <w:t>一般要求</w:t>
      </w:r>
    </w:p>
    <w:p>
      <w:pPr>
        <w:pStyle w:val="3"/>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1"/>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bCs/>
          <w:sz w:val="32"/>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壹万</w:t>
      </w:r>
      <w:r>
        <w:rPr>
          <w:rFonts w:hint="eastAsia" w:ascii="宋体" w:hAnsi="宋体"/>
          <w:b/>
          <w:bCs w:val="0"/>
          <w:color w:val="FF0000"/>
          <w:u w:val="single"/>
        </w:rPr>
        <w:t>元</w:t>
      </w:r>
      <w:r>
        <w:rPr>
          <w:rFonts w:hint="eastAsia" w:ascii="宋体" w:hAnsi="宋体"/>
          <w:b/>
          <w:bCs w:val="0"/>
          <w:color w:val="FF0000"/>
          <w:u w:val="single"/>
          <w:lang w:val="en-US" w:eastAsia="zh-CN"/>
        </w:rPr>
        <w:t>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2020</w:t>
      </w:r>
      <w:r>
        <w:rPr>
          <w:rFonts w:hint="eastAsia" w:ascii="宋体" w:hAnsi="宋体"/>
          <w:bCs/>
          <w:color w:val="7030A0"/>
        </w:rPr>
        <w:t xml:space="preserve">年 </w:t>
      </w:r>
      <w:r>
        <w:rPr>
          <w:rFonts w:hint="eastAsia" w:ascii="宋体" w:hAnsi="宋体"/>
          <w:bCs/>
          <w:color w:val="7030A0"/>
          <w:u w:val="single"/>
          <w:lang w:val="en-US" w:eastAsia="zh-CN"/>
        </w:rPr>
        <w:t>7</w:t>
      </w:r>
      <w:r>
        <w:rPr>
          <w:rFonts w:hint="eastAsia" w:ascii="宋体" w:hAnsi="宋体"/>
          <w:bCs/>
          <w:color w:val="7030A0"/>
        </w:rPr>
        <w:t>月</w:t>
      </w:r>
      <w:r>
        <w:rPr>
          <w:rFonts w:hint="eastAsia" w:ascii="宋体" w:hAnsi="宋体"/>
          <w:bCs/>
          <w:color w:val="7030A0"/>
          <w:u w:val="single"/>
          <w:lang w:val="en-US" w:eastAsia="zh-CN"/>
        </w:rPr>
        <w:t>5</w:t>
      </w:r>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缴纳此费用（否则视为自动放弃投标资格），注明投标保证金。如未中标，发包人将会无息退还此费用(60日内)，如中标，则此款项自动转为履约保证金。</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spacing w:line="240" w:lineRule="auto"/>
        <w:ind w:firstLine="482" w:firstLineChars="200"/>
        <w:rPr>
          <w:rFonts w:hint="default" w:ascii="宋体" w:hAnsi="宋体" w:eastAsia="宋体"/>
          <w:b/>
          <w:bCs w:val="0"/>
          <w:lang w:val="en-US" w:eastAsia="zh-CN"/>
        </w:rPr>
      </w:pPr>
      <w:r>
        <w:rPr>
          <w:rFonts w:hint="eastAsia" w:ascii="宋体" w:hAnsi="宋体"/>
          <w:b/>
          <w:bCs w:val="0"/>
          <w:lang w:val="en-US" w:eastAsia="zh-CN"/>
        </w:rPr>
        <w:t>中标单位需缴纳60万元安全履约保障金。</w:t>
      </w:r>
    </w:p>
    <w:p>
      <w:pPr>
        <w:widowControl w:val="0"/>
        <w:numPr>
          <w:ilvl w:val="0"/>
          <w:numId w:val="1"/>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1"/>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1"/>
        </w:numPr>
        <w:spacing w:line="240" w:lineRule="auto"/>
        <w:jc w:val="both"/>
        <w:rPr>
          <w:rFonts w:ascii="宋体" w:hAnsi="宋体"/>
          <w:b/>
        </w:rPr>
      </w:pPr>
      <w:r>
        <w:rPr>
          <w:rFonts w:hint="eastAsia" w:ascii="宋体" w:hAnsi="宋体"/>
          <w:b/>
        </w:rPr>
        <w:t>投标人要求</w:t>
      </w:r>
    </w:p>
    <w:p>
      <w:pPr>
        <w:widowControl w:val="0"/>
        <w:numPr>
          <w:ilvl w:val="0"/>
          <w:numId w:val="2"/>
        </w:numPr>
        <w:spacing w:line="240" w:lineRule="auto"/>
        <w:ind w:left="285" w:leftChars="0"/>
        <w:jc w:val="both"/>
        <w:rPr>
          <w:rFonts w:ascii="宋体" w:hAnsi="宋体"/>
        </w:rPr>
      </w:pPr>
      <w:r>
        <w:rPr>
          <w:rFonts w:hint="eastAsia" w:ascii="宋体" w:hAnsi="宋体"/>
        </w:rPr>
        <w:t>合格的投标人应具有圆满履行合同的能力，具体应符合下列条件：</w:t>
      </w:r>
    </w:p>
    <w:p>
      <w:pPr>
        <w:widowControl w:val="0"/>
        <w:numPr>
          <w:ilvl w:val="0"/>
          <w:numId w:val="3"/>
        </w:numPr>
        <w:tabs>
          <w:tab w:val="left" w:pos="1125"/>
        </w:tabs>
        <w:spacing w:line="240" w:lineRule="auto"/>
        <w:ind w:left="1265" w:leftChars="0" w:hanging="425" w:firstLineChars="0"/>
        <w:jc w:val="both"/>
        <w:rPr>
          <w:rFonts w:ascii="宋体" w:hAnsi="宋体"/>
        </w:rPr>
      </w:pPr>
      <w:r>
        <w:rPr>
          <w:rFonts w:hint="eastAsia" w:ascii="宋体" w:hAnsi="宋体"/>
        </w:rPr>
        <w:t>具有独立订立合同的权利。</w:t>
      </w:r>
    </w:p>
    <w:p>
      <w:pPr>
        <w:widowControl w:val="0"/>
        <w:numPr>
          <w:ilvl w:val="0"/>
          <w:numId w:val="3"/>
        </w:numPr>
        <w:tabs>
          <w:tab w:val="left" w:pos="1125"/>
        </w:tabs>
        <w:spacing w:line="240" w:lineRule="auto"/>
        <w:ind w:left="1265" w:leftChars="0" w:hanging="425" w:firstLineChars="0"/>
        <w:jc w:val="both"/>
        <w:rPr>
          <w:rFonts w:hint="eastAsia" w:ascii="宋体" w:hAnsi="宋体"/>
          <w:color w:val="FF0000"/>
        </w:rPr>
      </w:pPr>
      <w:r>
        <w:rPr>
          <w:rFonts w:hint="eastAsia" w:ascii="宋体" w:hAnsi="宋体"/>
        </w:rPr>
        <w:t>必须有</w:t>
      </w:r>
      <w:r>
        <w:rPr>
          <w:rFonts w:hint="eastAsia" w:ascii="宋体" w:hAnsi="宋体"/>
          <w:lang w:val="en-US" w:eastAsia="zh-CN"/>
        </w:rPr>
        <w:t>履约</w:t>
      </w:r>
      <w:r>
        <w:rPr>
          <w:rFonts w:hint="eastAsia" w:ascii="宋体" w:hAnsi="宋体"/>
        </w:rPr>
        <w:t>能力和一定垫资能力。</w:t>
      </w:r>
    </w:p>
    <w:p>
      <w:pPr>
        <w:widowControl w:val="0"/>
        <w:numPr>
          <w:ilvl w:val="0"/>
          <w:numId w:val="3"/>
        </w:numPr>
        <w:tabs>
          <w:tab w:val="left" w:pos="1125"/>
        </w:tabs>
        <w:spacing w:line="240" w:lineRule="auto"/>
        <w:ind w:left="1265" w:leftChars="0" w:hanging="425" w:firstLineChars="0"/>
        <w:jc w:val="both"/>
        <w:rPr>
          <w:rFonts w:ascii="宋体" w:hAnsi="宋体"/>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3"/>
        </w:numPr>
        <w:spacing w:line="240" w:lineRule="auto"/>
        <w:ind w:left="1265" w:leftChars="0" w:hanging="425" w:firstLineChars="0"/>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2"/>
        </w:numPr>
        <w:tabs>
          <w:tab w:val="left" w:pos="705"/>
        </w:tabs>
        <w:spacing w:line="240" w:lineRule="auto"/>
        <w:ind w:left="285" w:leftChars="0" w:firstLine="0" w:firstLineChars="0"/>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spacing w:line="240" w:lineRule="auto"/>
        <w:ind w:left="420" w:firstLine="60" w:firstLineChars="25"/>
        <w:jc w:val="both"/>
        <w:rPr>
          <w:rFonts w:hint="eastAsia" w:ascii="宋体" w:hAnsi="宋体"/>
        </w:rPr>
      </w:pPr>
      <w:r>
        <w:rPr>
          <w:rFonts w:hint="eastAsia" w:ascii="宋体" w:hAnsi="宋体"/>
        </w:rPr>
        <w:t>(1)商务文件：</w:t>
      </w:r>
    </w:p>
    <w:p>
      <w:pPr>
        <w:widowControl w:val="0"/>
        <w:numPr>
          <w:ilvl w:val="0"/>
          <w:numId w:val="4"/>
        </w:numPr>
        <w:spacing w:line="240" w:lineRule="auto"/>
        <w:ind w:firstLine="120"/>
        <w:jc w:val="both"/>
        <w:rPr>
          <w:rFonts w:hint="eastAsia" w:ascii="宋体" w:hAnsi="宋体"/>
        </w:rPr>
      </w:pPr>
      <w:r>
        <w:rPr>
          <w:rFonts w:hint="eastAsia" w:ascii="宋体" w:hAnsi="宋体"/>
        </w:rPr>
        <w:t>投标人法定代表人授权及授权代表身份证复印件。</w:t>
      </w:r>
    </w:p>
    <w:p>
      <w:pPr>
        <w:widowControl w:val="0"/>
        <w:numPr>
          <w:ilvl w:val="0"/>
          <w:numId w:val="4"/>
        </w:numPr>
        <w:spacing w:line="240" w:lineRule="auto"/>
        <w:ind w:firstLine="120"/>
        <w:jc w:val="both"/>
        <w:rPr>
          <w:rFonts w:ascii="宋体" w:hAnsi="宋体"/>
        </w:rPr>
      </w:pPr>
      <w:r>
        <w:rPr>
          <w:rFonts w:hint="eastAsia" w:ascii="宋体" w:hAnsi="宋体"/>
        </w:rPr>
        <w:t>近几年内与此项目相关的业绩合同。</w:t>
      </w:r>
    </w:p>
    <w:p>
      <w:pPr>
        <w:widowControl w:val="0"/>
        <w:numPr>
          <w:ilvl w:val="0"/>
          <w:numId w:val="4"/>
        </w:numPr>
        <w:spacing w:line="240" w:lineRule="auto"/>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numPr>
          <w:ilvl w:val="0"/>
          <w:numId w:val="4"/>
        </w:numPr>
        <w:spacing w:line="240" w:lineRule="auto"/>
        <w:ind w:firstLine="120"/>
        <w:jc w:val="both"/>
        <w:rPr>
          <w:rFonts w:hint="eastAsia" w:ascii="宋体" w:hAnsi="宋体"/>
          <w:bCs/>
          <w:color w:val="000000"/>
        </w:rPr>
      </w:pPr>
      <w:r>
        <w:rPr>
          <w:rFonts w:hint="eastAsia" w:ascii="宋体" w:hAnsi="宋体"/>
        </w:rPr>
        <w:t>企业法人营业执照及企业通过的相关体系认证文件等。</w:t>
      </w:r>
    </w:p>
    <w:p>
      <w:pPr>
        <w:widowControl w:val="0"/>
        <w:spacing w:line="240" w:lineRule="auto"/>
        <w:ind w:left="480"/>
        <w:jc w:val="both"/>
        <w:rPr>
          <w:rFonts w:hint="eastAsia" w:ascii="宋体" w:hAnsi="宋体"/>
          <w:bCs/>
          <w:color w:val="000000"/>
        </w:rPr>
      </w:pPr>
      <w:r>
        <w:rPr>
          <w:rFonts w:hint="eastAsia" w:ascii="宋体" w:hAnsi="宋体"/>
          <w:bCs/>
          <w:color w:val="000000"/>
        </w:rPr>
        <w:t>(2)技术文件：包括投标方案及其说明等。</w:t>
      </w:r>
    </w:p>
    <w:p>
      <w:pPr>
        <w:widowControl w:val="0"/>
        <w:spacing w:line="240" w:lineRule="auto"/>
        <w:ind w:left="480"/>
        <w:jc w:val="both"/>
        <w:rPr>
          <w:rFonts w:ascii="宋体" w:hAnsi="宋体"/>
          <w:bCs/>
          <w:color w:val="000000"/>
        </w:rPr>
      </w:pPr>
      <w:r>
        <w:rPr>
          <w:rFonts w:hint="eastAsia" w:ascii="宋体" w:hAnsi="宋体"/>
          <w:bCs/>
          <w:color w:val="000000"/>
        </w:rPr>
        <w:t>(3)价格文件：一份即可，必须单独密封。投标人必须填写投标报价表；</w:t>
      </w:r>
    </w:p>
    <w:p>
      <w:pPr>
        <w:widowControl w:val="0"/>
        <w:spacing w:line="240" w:lineRule="auto"/>
        <w:ind w:left="480"/>
        <w:jc w:val="both"/>
        <w:rPr>
          <w:rFonts w:ascii="宋体" w:hAnsi="宋体"/>
          <w:color w:val="000000"/>
        </w:rPr>
      </w:pPr>
      <w:r>
        <w:rPr>
          <w:rFonts w:hint="eastAsia" w:ascii="宋体" w:hAnsi="宋体"/>
          <w:color w:val="000000"/>
        </w:rPr>
        <w:t>(4)其它文件：包括商务、技术或不满足招标文件的差异说明，招标文件要求具备的其他内容，以及投标人额外承诺或补充说明等。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5"/>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p>
    <w:p>
      <w:pPr>
        <w:numPr>
          <w:ilvl w:val="0"/>
          <w:numId w:val="5"/>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10"/>
        <w:numPr>
          <w:ilvl w:val="0"/>
          <w:numId w:val="6"/>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10"/>
        <w:numPr>
          <w:ilvl w:val="0"/>
          <w:numId w:val="6"/>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7"/>
        </w:numPr>
        <w:spacing w:line="240" w:lineRule="auto"/>
        <w:ind w:left="0" w:leftChars="0" w:firstLine="480" w:firstLineChars="200"/>
        <w:rPr>
          <w:rFonts w:ascii="宋体" w:hAnsi="宋体"/>
        </w:rPr>
      </w:pPr>
      <w:r>
        <w:rPr>
          <w:rFonts w:ascii="宋体" w:hAnsi="宋体"/>
        </w:rPr>
        <w:t>投标文件有密封与标记</w:t>
      </w:r>
    </w:p>
    <w:p>
      <w:pPr>
        <w:numPr>
          <w:ilvl w:val="0"/>
          <w:numId w:val="7"/>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7"/>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7"/>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8"/>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8"/>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8"/>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8"/>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8"/>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8"/>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8"/>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、评标标准</w:t>
      </w:r>
    </w:p>
    <w:p>
      <w:pPr>
        <w:numPr>
          <w:ilvl w:val="0"/>
          <w:numId w:val="9"/>
        </w:numPr>
        <w:spacing w:line="240" w:lineRule="auto"/>
        <w:ind w:left="845" w:leftChars="0" w:hanging="425" w:firstLineChars="0"/>
        <w:rPr>
          <w:rFonts w:hint="eastAsia"/>
          <w:color w:val="auto"/>
          <w:sz w:val="24"/>
          <w:szCs w:val="24"/>
        </w:rPr>
      </w:pPr>
      <w:r>
        <w:rPr>
          <w:rFonts w:hint="eastAsia"/>
          <w:color w:val="auto"/>
          <w:sz w:val="24"/>
          <w:szCs w:val="24"/>
        </w:rPr>
        <w:t>由评标委员会评分，按分数从高到低顺序推荐中标候选单位。</w:t>
      </w:r>
    </w:p>
    <w:p>
      <w:pPr>
        <w:numPr>
          <w:ilvl w:val="0"/>
          <w:numId w:val="9"/>
        </w:numPr>
        <w:spacing w:line="240" w:lineRule="auto"/>
        <w:ind w:left="84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numPr>
          <w:ilvl w:val="0"/>
          <w:numId w:val="9"/>
        </w:numPr>
        <w:spacing w:line="240" w:lineRule="auto"/>
        <w:ind w:left="845" w:leftChars="0" w:hanging="425"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本次招标采用一次报价开标。</w:t>
      </w:r>
    </w:p>
    <w:p>
      <w:pPr>
        <w:numPr>
          <w:ilvl w:val="0"/>
          <w:numId w:val="9"/>
        </w:numPr>
        <w:spacing w:line="240" w:lineRule="auto"/>
        <w:ind w:left="845" w:leftChars="0" w:hanging="425" w:firstLineChars="0"/>
        <w:rPr>
          <w:color w:val="0000FF"/>
          <w:sz w:val="24"/>
          <w:szCs w:val="24"/>
        </w:rPr>
      </w:pPr>
      <w:r>
        <w:rPr>
          <w:rFonts w:hint="eastAsia"/>
          <w:color w:val="auto"/>
          <w:sz w:val="24"/>
          <w:szCs w:val="24"/>
        </w:rPr>
        <w:t>评分标准：</w:t>
      </w:r>
      <w:r>
        <w:rPr>
          <w:rFonts w:hint="eastAsia"/>
          <w:color w:val="auto"/>
          <w:sz w:val="24"/>
          <w:szCs w:val="24"/>
          <w:lang w:val="en-US" w:eastAsia="zh-CN"/>
        </w:rPr>
        <w:t>价格70分，及时率20分，业绩5分，企业信誉5分</w:t>
      </w:r>
      <w:r>
        <w:rPr>
          <w:rFonts w:hint="eastAsia"/>
          <w:color w:val="auto"/>
          <w:sz w:val="24"/>
          <w:szCs w:val="24"/>
        </w:rPr>
        <w:t>。</w:t>
      </w:r>
    </w:p>
    <w:p>
      <w:pPr>
        <w:spacing w:line="240" w:lineRule="auto"/>
        <w:rPr>
          <w:rFonts w:hint="default" w:eastAsia="宋体"/>
          <w:b/>
          <w:color w:val="auto"/>
          <w:sz w:val="24"/>
          <w:szCs w:val="24"/>
          <w:lang w:val="en-US" w:eastAsia="zh-CN"/>
        </w:rPr>
      </w:pPr>
      <w:r>
        <w:rPr>
          <w:rFonts w:hint="eastAsia"/>
          <w:b/>
          <w:color w:val="0000FF"/>
          <w:sz w:val="24"/>
          <w:szCs w:val="24"/>
        </w:rPr>
        <w:t>十</w:t>
      </w:r>
      <w:r>
        <w:rPr>
          <w:rFonts w:hint="eastAsia"/>
          <w:b/>
          <w:color w:val="0000FF"/>
          <w:sz w:val="24"/>
          <w:szCs w:val="24"/>
          <w:lang w:val="en-US" w:eastAsia="zh-CN"/>
        </w:rPr>
        <w:t>三</w:t>
      </w:r>
      <w:r>
        <w:rPr>
          <w:rFonts w:hint="eastAsia"/>
          <w:b/>
          <w:color w:val="0000FF"/>
          <w:sz w:val="24"/>
          <w:szCs w:val="24"/>
        </w:rPr>
        <w:t>、其他要求</w:t>
      </w:r>
    </w:p>
    <w:p>
      <w:pPr>
        <w:numPr>
          <w:ilvl w:val="0"/>
          <w:numId w:val="10"/>
        </w:numPr>
        <w:spacing w:line="240" w:lineRule="auto"/>
        <w:ind w:left="84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承揽单位应具备独立承担安全事故风险的经济实力,须按我公司《相关方及外用工（单位）安全管理制度》规定办理相关手续，缴纳安全保障金60万，为员工购买工伤保险，满 55 周岁的人员不得进入我公司从事作业活动。</w:t>
      </w:r>
    </w:p>
    <w:p>
      <w:pPr>
        <w:numPr>
          <w:ilvl w:val="0"/>
          <w:numId w:val="10"/>
        </w:numPr>
        <w:spacing w:line="240" w:lineRule="auto"/>
        <w:ind w:left="84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承揽单位必须具备24小时承揽服务能力，配备足够作业人员，合理安排班次，作业人员不得疲劳作业，班次调整时不得连续24小时作业；作业人员须持有国家相关部门核发的有效证件。</w:t>
      </w:r>
    </w:p>
    <w:p>
      <w:pPr>
        <w:numPr>
          <w:ilvl w:val="0"/>
          <w:numId w:val="10"/>
        </w:numPr>
        <w:spacing w:line="240" w:lineRule="auto"/>
        <w:ind w:left="84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承揽单位需车辆须符合法律法规要求、符合公司车辆管理要求，定期做好车辆检维修工作，报废车辆一律不得进厂。倒运易扬尘物料车辆需承揽单位自行安装覆盖设备，装车覆盖后方可上路。因承揽单位作业效率不高，或车辆故障维修，致使不能满足生产，承运单位应在规定时间内增加车辆，保障生产经营。</w:t>
      </w:r>
    </w:p>
    <w:p>
      <w:pPr>
        <w:numPr>
          <w:ilvl w:val="0"/>
          <w:numId w:val="10"/>
        </w:numPr>
        <w:spacing w:line="240" w:lineRule="auto"/>
        <w:ind w:left="84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承揽单位在合同履行中，必须遵守我公司的安全、生产、环保、质量、现场、车辆交通等规章制度。如违反相关规章制度，我公司将依据规章制度要求给予考核。</w:t>
      </w:r>
    </w:p>
    <w:p>
      <w:pPr>
        <w:numPr>
          <w:ilvl w:val="0"/>
          <w:numId w:val="10"/>
        </w:numPr>
        <w:spacing w:line="240" w:lineRule="auto"/>
        <w:ind w:left="84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合同履约保证金为5万元。合同执行期结束，经双方确认无合同纠纷后，我公司退还承揽单位履约保证金（无息）；若存在尚未解决合同争端，履约保证金的有效期将延长到上述争端最终解决且所有理赔完毕。</w:t>
      </w:r>
    </w:p>
    <w:p>
      <w:pPr>
        <w:numPr>
          <w:ilvl w:val="0"/>
          <w:numId w:val="10"/>
        </w:numPr>
        <w:spacing w:line="240" w:lineRule="auto"/>
        <w:ind w:left="84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承揽单位须在履约前准备好车辆、作业人员，所有作业人员需接受用车部门安全培训、业务培训后方可上岗。</w:t>
      </w:r>
    </w:p>
    <w:p>
      <w:pPr>
        <w:numPr>
          <w:ilvl w:val="0"/>
          <w:numId w:val="10"/>
        </w:numPr>
        <w:spacing w:line="240" w:lineRule="auto"/>
        <w:ind w:left="84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合同期限：2020年7月29日至2021年1月28日。</w:t>
      </w:r>
    </w:p>
    <w:p>
      <w:pPr>
        <w:numPr>
          <w:ilvl w:val="0"/>
          <w:numId w:val="10"/>
        </w:numPr>
        <w:spacing w:line="240" w:lineRule="auto"/>
        <w:ind w:left="845" w:leftChars="0" w:hanging="425" w:firstLineChars="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投标单位具有道路运输许可证。</w:t>
      </w:r>
      <w:bookmarkStart w:id="0" w:name="_GoBack"/>
      <w:bookmarkEnd w:id="0"/>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default" w:ascii="宋体" w:hAnsi="宋体"/>
          <w:b/>
          <w:color w:val="auto"/>
          <w:sz w:val="24"/>
          <w:szCs w:val="24"/>
          <w:lang w:val="en-US" w:eastAsia="zh-CN"/>
        </w:rPr>
      </w:pPr>
      <w:r>
        <w:rPr>
          <w:rFonts w:hint="eastAsia" w:ascii="宋体" w:hAnsi="宋体"/>
          <w:b/>
          <w:color w:val="auto"/>
          <w:sz w:val="24"/>
          <w:szCs w:val="24"/>
          <w:lang w:val="en-US" w:eastAsia="zh-CN"/>
        </w:rPr>
        <w:t>十四、报价表</w:t>
      </w:r>
    </w:p>
    <w:p>
      <w:pPr>
        <w:tabs>
          <w:tab w:val="left" w:pos="420"/>
          <w:tab w:val="left" w:pos="630"/>
        </w:tabs>
        <w:spacing w:line="300" w:lineRule="auto"/>
        <w:jc w:val="center"/>
        <w:rPr>
          <w:rFonts w:hint="eastAsia" w:ascii="宋体" w:hAnsi="宋体" w:eastAsia="宋体" w:cs="宋体"/>
          <w:sz w:val="28"/>
          <w:szCs w:val="28"/>
          <w:u w:val="none"/>
          <w:lang w:eastAsia="zh-CN"/>
        </w:rPr>
      </w:pPr>
      <w:r>
        <w:rPr>
          <w:rFonts w:hint="eastAsia" w:ascii="宋体" w:hAnsi="宋体" w:eastAsia="宋体" w:cs="宋体"/>
          <w:sz w:val="28"/>
          <w:szCs w:val="28"/>
          <w:u w:val="none"/>
          <w:lang w:eastAsia="zh-CN"/>
        </w:rPr>
        <w:t>报价表</w:t>
      </w:r>
    </w:p>
    <w:p>
      <w:pPr>
        <w:tabs>
          <w:tab w:val="left" w:pos="420"/>
          <w:tab w:val="left" w:pos="630"/>
        </w:tabs>
        <w:spacing w:line="300" w:lineRule="auto"/>
        <w:jc w:val="center"/>
        <w:rPr>
          <w:rFonts w:hint="eastAsia" w:ascii="宋体" w:hAnsi="宋体" w:eastAsia="宋体" w:cs="宋体"/>
          <w:sz w:val="28"/>
          <w:szCs w:val="28"/>
          <w:u w:val="none"/>
          <w:lang w:eastAsia="zh-CN"/>
        </w:rPr>
      </w:pPr>
      <w:r>
        <w:rPr>
          <w:rFonts w:hint="eastAsia" w:ascii="宋体" w:hAnsi="宋体" w:eastAsia="宋体" w:cs="宋体"/>
          <w:sz w:val="28"/>
          <w:szCs w:val="28"/>
          <w:u w:val="none"/>
          <w:lang w:eastAsia="zh-CN"/>
        </w:rPr>
        <w:t>不含税报价（适用税率</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w:t>
      </w:r>
      <w:r>
        <w:rPr>
          <w:rFonts w:hint="eastAsia" w:ascii="宋体" w:hAnsi="宋体" w:eastAsia="宋体" w:cs="宋体"/>
          <w:sz w:val="28"/>
          <w:szCs w:val="28"/>
          <w:u w:val="none"/>
          <w:lang w:eastAsia="zh-CN"/>
        </w:rPr>
        <w:t>）</w:t>
      </w:r>
    </w:p>
    <w:p>
      <w:pPr>
        <w:spacing w:line="360" w:lineRule="auto"/>
        <w:rPr>
          <w:rFonts w:hint="eastAsia"/>
          <w:lang w:val="en-US" w:eastAsia="zh-CN"/>
        </w:rPr>
      </w:pPr>
      <w:r>
        <w:rPr>
          <w:rFonts w:hint="eastAsia"/>
          <w:lang w:val="en-US" w:eastAsia="zh-CN"/>
        </w:rPr>
        <w:t xml:space="preserve">  </w:t>
      </w:r>
    </w:p>
    <w:tbl>
      <w:tblPr>
        <w:tblStyle w:val="7"/>
        <w:tblW w:w="8152" w:type="dxa"/>
        <w:jc w:val="center"/>
        <w:shd w:val="clear" w:color="auto" w:fill="FFFFFF"/>
        <w:tblLayout w:type="fixed"/>
        <w:tblCellMar>
          <w:top w:w="0" w:type="dxa"/>
          <w:left w:w="0" w:type="dxa"/>
          <w:bottom w:w="0" w:type="dxa"/>
          <w:right w:w="0" w:type="dxa"/>
        </w:tblCellMar>
      </w:tblPr>
      <w:tblGrid>
        <w:gridCol w:w="1500"/>
        <w:gridCol w:w="1360"/>
        <w:gridCol w:w="2169"/>
        <w:gridCol w:w="1380"/>
        <w:gridCol w:w="1743"/>
      </w:tblGrid>
      <w:tr>
        <w:tblPrEx>
          <w:shd w:val="clear" w:color="auto" w:fill="FFFFFF"/>
          <w:tblCellMar>
            <w:top w:w="0" w:type="dxa"/>
            <w:left w:w="0" w:type="dxa"/>
            <w:bottom w:w="0" w:type="dxa"/>
            <w:right w:w="0" w:type="dxa"/>
          </w:tblCellMar>
        </w:tblPrEx>
        <w:trPr>
          <w:trHeight w:val="1043" w:hRule="atLeast"/>
          <w:jc w:val="center"/>
        </w:trPr>
        <w:tc>
          <w:tcPr>
            <w:tcW w:w="1500" w:type="dxa"/>
            <w:tcBorders>
              <w:top w:val="single" w:color="auto" w:sz="4" w:space="0"/>
              <w:left w:val="single" w:color="auto" w:sz="4" w:space="0"/>
              <w:bottom w:val="single" w:color="auto" w:sz="4" w:space="0"/>
              <w:right w:val="single" w:color="auto" w:sz="4" w:space="0"/>
            </w:tcBorders>
            <w:shd w:val="clear" w:color="auto" w:fill="F3F8F7"/>
            <w:tcMar>
              <w:top w:w="60" w:type="dxa"/>
              <w:left w:w="150" w:type="dxa"/>
              <w:bottom w:w="60" w:type="dxa"/>
              <w:right w:w="150" w:type="dxa"/>
            </w:tcMar>
            <w:vAlign w:val="center"/>
          </w:tcPr>
          <w:p>
            <w:pPr>
              <w:spacing w:line="360" w:lineRule="auto"/>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项目</w:t>
            </w:r>
          </w:p>
        </w:tc>
        <w:tc>
          <w:tcPr>
            <w:tcW w:w="1360" w:type="dxa"/>
            <w:tcBorders>
              <w:top w:val="single" w:color="auto" w:sz="4" w:space="0"/>
              <w:left w:val="single" w:color="auto" w:sz="4" w:space="0"/>
              <w:bottom w:val="single" w:color="auto" w:sz="4" w:space="0"/>
              <w:right w:val="single" w:color="auto" w:sz="4" w:space="0"/>
            </w:tcBorders>
            <w:shd w:val="clear" w:color="auto" w:fill="F3F8F7"/>
            <w:tcMar>
              <w:top w:w="60" w:type="dxa"/>
              <w:left w:w="150" w:type="dxa"/>
              <w:bottom w:w="60" w:type="dxa"/>
              <w:right w:w="150" w:type="dxa"/>
            </w:tcMar>
            <w:vAlign w:val="center"/>
          </w:tcPr>
          <w:p>
            <w:pPr>
              <w:spacing w:line="360" w:lineRule="auto"/>
              <w:jc w:val="center"/>
              <w:rPr>
                <w:rFonts w:hint="eastAsia" w:ascii="宋体" w:hAnsi="宋体" w:eastAsia="宋体" w:cs="宋体"/>
                <w:kern w:val="2"/>
                <w:sz w:val="24"/>
                <w:szCs w:val="24"/>
                <w:vertAlign w:val="baseline"/>
                <w:lang w:val="en-US" w:eastAsia="zh-CN" w:bidi="ar-SA"/>
              </w:rPr>
            </w:pPr>
            <w:r>
              <w:rPr>
                <w:rFonts w:hint="default" w:ascii="宋体" w:hAnsi="宋体" w:eastAsia="宋体" w:cs="宋体"/>
                <w:kern w:val="2"/>
                <w:sz w:val="24"/>
                <w:szCs w:val="24"/>
                <w:vertAlign w:val="baseline"/>
                <w:lang w:val="en-US" w:eastAsia="zh-CN" w:bidi="ar-SA"/>
              </w:rPr>
              <w:t>车型</w:t>
            </w:r>
          </w:p>
        </w:tc>
        <w:tc>
          <w:tcPr>
            <w:tcW w:w="2169" w:type="dxa"/>
            <w:tcBorders>
              <w:top w:val="single" w:color="auto" w:sz="4" w:space="0"/>
              <w:left w:val="single" w:color="auto" w:sz="4" w:space="0"/>
              <w:bottom w:val="single" w:color="auto" w:sz="4" w:space="0"/>
              <w:right w:val="single" w:color="auto" w:sz="4" w:space="0"/>
            </w:tcBorders>
            <w:shd w:val="clear" w:color="auto" w:fill="F3F8F7"/>
            <w:tcMar>
              <w:top w:w="60" w:type="dxa"/>
              <w:left w:w="150" w:type="dxa"/>
              <w:bottom w:w="60" w:type="dxa"/>
              <w:right w:w="150" w:type="dxa"/>
            </w:tcMar>
            <w:vAlign w:val="center"/>
          </w:tcPr>
          <w:p>
            <w:pPr>
              <w:spacing w:line="360" w:lineRule="auto"/>
              <w:jc w:val="center"/>
              <w:rPr>
                <w:rFonts w:hint="eastAsia" w:ascii="宋体" w:hAnsi="宋体" w:eastAsia="宋体" w:cs="宋体"/>
                <w:kern w:val="2"/>
                <w:sz w:val="24"/>
                <w:szCs w:val="24"/>
                <w:vertAlign w:val="baseline"/>
                <w:lang w:val="en-US" w:eastAsia="zh-CN" w:bidi="ar-SA"/>
              </w:rPr>
            </w:pPr>
            <w:r>
              <w:rPr>
                <w:rFonts w:hint="default" w:ascii="宋体" w:hAnsi="宋体" w:eastAsia="宋体" w:cs="宋体"/>
                <w:kern w:val="2"/>
                <w:sz w:val="24"/>
                <w:szCs w:val="24"/>
                <w:vertAlign w:val="baseline"/>
                <w:lang w:val="en-US" w:eastAsia="zh-CN" w:bidi="ar-SA"/>
              </w:rPr>
              <w:t>结算方式</w:t>
            </w:r>
          </w:p>
        </w:tc>
        <w:tc>
          <w:tcPr>
            <w:tcW w:w="1380" w:type="dxa"/>
            <w:tcBorders>
              <w:top w:val="single" w:color="auto" w:sz="4" w:space="0"/>
              <w:left w:val="single" w:color="auto" w:sz="4" w:space="0"/>
              <w:bottom w:val="single" w:color="auto" w:sz="4" w:space="0"/>
              <w:right w:val="single" w:color="auto" w:sz="4" w:space="0"/>
            </w:tcBorders>
            <w:shd w:val="clear" w:color="auto" w:fill="F3F8F7"/>
            <w:tcMar>
              <w:top w:w="60" w:type="dxa"/>
              <w:left w:w="150" w:type="dxa"/>
              <w:bottom w:w="60" w:type="dxa"/>
              <w:right w:w="150" w:type="dxa"/>
            </w:tcMar>
            <w:vAlign w:val="center"/>
          </w:tcPr>
          <w:p>
            <w:pPr>
              <w:spacing w:line="360" w:lineRule="auto"/>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运输</w:t>
            </w:r>
            <w:r>
              <w:rPr>
                <w:rFonts w:hint="default" w:ascii="宋体" w:hAnsi="宋体" w:eastAsia="宋体" w:cs="宋体"/>
                <w:kern w:val="2"/>
                <w:sz w:val="24"/>
                <w:szCs w:val="24"/>
                <w:vertAlign w:val="baseline"/>
                <w:lang w:val="en-US" w:eastAsia="zh-CN" w:bidi="ar-SA"/>
              </w:rPr>
              <w:t>单价</w:t>
            </w:r>
          </w:p>
          <w:p>
            <w:pPr>
              <w:spacing w:line="360" w:lineRule="auto"/>
              <w:jc w:val="center"/>
              <w:rPr>
                <w:rFonts w:hint="eastAsia" w:ascii="宋体" w:hAnsi="宋体" w:eastAsia="宋体" w:cs="宋体"/>
                <w:kern w:val="2"/>
                <w:sz w:val="24"/>
                <w:szCs w:val="24"/>
                <w:vertAlign w:val="baseline"/>
                <w:lang w:val="en-US" w:eastAsia="zh-CN" w:bidi="ar-SA"/>
              </w:rPr>
            </w:pPr>
            <w:r>
              <w:rPr>
                <w:rFonts w:hint="default" w:ascii="宋体" w:hAnsi="宋体" w:eastAsia="宋体" w:cs="宋体"/>
                <w:kern w:val="2"/>
                <w:sz w:val="24"/>
                <w:szCs w:val="24"/>
                <w:vertAlign w:val="baseline"/>
                <w:lang w:val="en-US" w:eastAsia="zh-CN" w:bidi="ar-SA"/>
              </w:rPr>
              <w:t>元/吨</w:t>
            </w:r>
          </w:p>
        </w:tc>
        <w:tc>
          <w:tcPr>
            <w:tcW w:w="1743" w:type="dxa"/>
            <w:tcBorders>
              <w:top w:val="single" w:color="auto" w:sz="4" w:space="0"/>
              <w:left w:val="single" w:color="auto" w:sz="4" w:space="0"/>
              <w:bottom w:val="single" w:color="auto" w:sz="4" w:space="0"/>
              <w:right w:val="single" w:color="auto" w:sz="4" w:space="0"/>
            </w:tcBorders>
            <w:shd w:val="clear" w:color="auto" w:fill="F3F8F7"/>
            <w:tcMar>
              <w:top w:w="60" w:type="dxa"/>
              <w:left w:w="150" w:type="dxa"/>
              <w:bottom w:w="60" w:type="dxa"/>
              <w:right w:w="150" w:type="dxa"/>
            </w:tcMar>
            <w:vAlign w:val="center"/>
          </w:tcPr>
          <w:p>
            <w:pPr>
              <w:spacing w:line="360" w:lineRule="auto"/>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备注</w:t>
            </w:r>
          </w:p>
        </w:tc>
      </w:tr>
      <w:tr>
        <w:tblPrEx>
          <w:tblCellMar>
            <w:top w:w="0" w:type="dxa"/>
            <w:left w:w="0" w:type="dxa"/>
            <w:bottom w:w="0" w:type="dxa"/>
            <w:right w:w="0" w:type="dxa"/>
          </w:tblCellMar>
        </w:tblPrEx>
        <w:trPr>
          <w:trHeight w:val="2653" w:hRule="atLeast"/>
          <w:jc w:val="center"/>
        </w:trPr>
        <w:tc>
          <w:tcPr>
            <w:tcW w:w="1500" w:type="dxa"/>
            <w:tcBorders>
              <w:top w:val="single" w:color="auto" w:sz="4" w:space="0"/>
              <w:left w:val="single" w:color="auto" w:sz="4" w:space="0"/>
              <w:bottom w:val="single" w:color="auto" w:sz="4" w:space="0"/>
              <w:right w:val="single" w:color="auto" w:sz="4" w:space="0"/>
            </w:tcBorders>
            <w:shd w:val="clear" w:color="auto" w:fill="FFFFFF"/>
            <w:tcMar>
              <w:top w:w="60" w:type="dxa"/>
              <w:left w:w="150" w:type="dxa"/>
              <w:bottom w:w="60" w:type="dxa"/>
              <w:right w:w="150" w:type="dxa"/>
            </w:tcMar>
            <w:vAlign w:val="center"/>
          </w:tcPr>
          <w:p>
            <w:pPr>
              <w:spacing w:line="360" w:lineRule="auto"/>
              <w:jc w:val="center"/>
              <w:rPr>
                <w:rFonts w:hint="eastAsia" w:ascii="宋体" w:hAnsi="宋体" w:eastAsia="宋体" w:cs="宋体"/>
                <w:kern w:val="2"/>
                <w:sz w:val="24"/>
                <w:szCs w:val="24"/>
                <w:vertAlign w:val="baseline"/>
                <w:lang w:val="en-US" w:eastAsia="zh-CN" w:bidi="ar-SA"/>
              </w:rPr>
            </w:pPr>
            <w:r>
              <w:rPr>
                <w:rFonts w:hint="eastAsia" w:ascii="宋体" w:hAnsi="宋体" w:cs="宋体"/>
                <w:color w:val="auto"/>
                <w:sz w:val="24"/>
                <w:szCs w:val="24"/>
                <w:lang w:eastAsia="zh-CN"/>
              </w:rPr>
              <w:t>负责</w:t>
            </w:r>
            <w:r>
              <w:rPr>
                <w:rFonts w:hint="eastAsia" w:ascii="宋体" w:hAnsi="宋体" w:eastAsia="宋体" w:cs="宋体"/>
                <w:i w:val="0"/>
                <w:color w:val="auto"/>
                <w:sz w:val="24"/>
                <w:szCs w:val="24"/>
              </w:rPr>
              <w:t>炼铁</w:t>
            </w:r>
            <w:r>
              <w:rPr>
                <w:rFonts w:hint="eastAsia" w:ascii="宋体" w:hAnsi="宋体" w:cs="宋体"/>
                <w:i w:val="0"/>
                <w:color w:val="auto"/>
                <w:sz w:val="24"/>
                <w:szCs w:val="24"/>
                <w:lang w:eastAsia="zh-CN"/>
              </w:rPr>
              <w:t>部</w:t>
            </w:r>
            <w:r>
              <w:rPr>
                <w:rFonts w:hint="eastAsia" w:ascii="宋体" w:hAnsi="宋体" w:eastAsia="宋体" w:cs="宋体"/>
                <w:i w:val="0"/>
                <w:color w:val="auto"/>
                <w:sz w:val="24"/>
                <w:szCs w:val="24"/>
              </w:rPr>
              <w:t>原</w:t>
            </w:r>
            <w:r>
              <w:rPr>
                <w:rFonts w:hint="eastAsia" w:ascii="宋体" w:hAnsi="宋体" w:cs="宋体"/>
                <w:i w:val="0"/>
                <w:color w:val="auto"/>
                <w:sz w:val="24"/>
                <w:szCs w:val="24"/>
                <w:lang w:eastAsia="zh-CN"/>
              </w:rPr>
              <w:t>、</w:t>
            </w:r>
            <w:r>
              <w:rPr>
                <w:rFonts w:hint="eastAsia" w:ascii="宋体" w:hAnsi="宋体" w:eastAsia="宋体" w:cs="宋体"/>
                <w:i w:val="0"/>
                <w:color w:val="auto"/>
                <w:sz w:val="24"/>
                <w:szCs w:val="24"/>
              </w:rPr>
              <w:t>燃料倒运</w:t>
            </w:r>
            <w:r>
              <w:rPr>
                <w:rFonts w:hint="eastAsia" w:ascii="宋体" w:hAnsi="宋体" w:cs="宋体"/>
                <w:i w:val="0"/>
                <w:color w:val="auto"/>
                <w:sz w:val="24"/>
                <w:szCs w:val="24"/>
                <w:lang w:eastAsia="zh-CN"/>
              </w:rPr>
              <w:t>，两座高炉及</w:t>
            </w:r>
            <w:r>
              <w:rPr>
                <w:rFonts w:hint="eastAsia" w:ascii="宋体" w:hAnsi="宋体" w:eastAsia="宋体" w:cs="宋体"/>
                <w:i w:val="0"/>
                <w:color w:val="auto"/>
                <w:sz w:val="24"/>
                <w:szCs w:val="24"/>
              </w:rPr>
              <w:t>铸铁渣铁倒运</w:t>
            </w:r>
          </w:p>
        </w:tc>
        <w:tc>
          <w:tcPr>
            <w:tcW w:w="1360" w:type="dxa"/>
            <w:tcBorders>
              <w:top w:val="single" w:color="auto" w:sz="4" w:space="0"/>
              <w:left w:val="single" w:color="auto" w:sz="4" w:space="0"/>
              <w:bottom w:val="single" w:color="auto" w:sz="4" w:space="0"/>
              <w:right w:val="single" w:color="auto" w:sz="4" w:space="0"/>
            </w:tcBorders>
            <w:shd w:val="clear" w:color="auto" w:fill="FFFFFF"/>
            <w:tcMar>
              <w:top w:w="60" w:type="dxa"/>
              <w:left w:w="150" w:type="dxa"/>
              <w:bottom w:w="60" w:type="dxa"/>
              <w:right w:w="150" w:type="dxa"/>
            </w:tcMar>
            <w:vAlign w:val="center"/>
          </w:tcPr>
          <w:p>
            <w:pPr>
              <w:spacing w:line="360" w:lineRule="auto"/>
              <w:jc w:val="center"/>
              <w:rPr>
                <w:rFonts w:hint="eastAsia" w:ascii="宋体" w:hAnsi="宋体" w:eastAsia="宋体" w:cs="宋体"/>
                <w:kern w:val="2"/>
                <w:sz w:val="24"/>
                <w:szCs w:val="24"/>
                <w:vertAlign w:val="baseline"/>
                <w:lang w:val="en-US" w:eastAsia="zh-CN" w:bidi="ar-SA"/>
              </w:rPr>
            </w:pPr>
            <w:r>
              <w:rPr>
                <w:rFonts w:hint="eastAsia" w:ascii="宋体" w:hAnsi="宋体" w:cs="宋体"/>
                <w:i w:val="0"/>
                <w:color w:val="222222"/>
                <w:sz w:val="24"/>
                <w:szCs w:val="24"/>
                <w:lang w:val="en-US" w:eastAsia="zh-CN"/>
              </w:rPr>
              <w:t>3部三轴或四轴自卸车、1部</w:t>
            </w:r>
            <w:r>
              <w:rPr>
                <w:rFonts w:hint="eastAsia" w:ascii="宋体" w:hAnsi="宋体" w:cs="宋体"/>
                <w:i w:val="0"/>
                <w:color w:val="222222"/>
                <w:sz w:val="24"/>
                <w:szCs w:val="24"/>
                <w:lang w:eastAsia="zh-CN"/>
              </w:rPr>
              <w:t>两轴自卸车</w:t>
            </w:r>
          </w:p>
        </w:tc>
        <w:tc>
          <w:tcPr>
            <w:tcW w:w="2169" w:type="dxa"/>
            <w:tcBorders>
              <w:top w:val="single" w:color="auto" w:sz="4" w:space="0"/>
              <w:left w:val="single" w:color="auto" w:sz="4" w:space="0"/>
              <w:bottom w:val="single" w:color="auto" w:sz="4" w:space="0"/>
              <w:right w:val="single" w:color="auto" w:sz="4" w:space="0"/>
            </w:tcBorders>
            <w:shd w:val="clear" w:color="auto" w:fill="FFFFFF"/>
            <w:tcMar>
              <w:top w:w="60" w:type="dxa"/>
              <w:left w:w="150" w:type="dxa"/>
              <w:bottom w:w="60" w:type="dxa"/>
              <w:right w:w="150" w:type="dxa"/>
            </w:tcMar>
            <w:vAlign w:val="center"/>
          </w:tcPr>
          <w:p>
            <w:pPr>
              <w:spacing w:line="360" w:lineRule="auto"/>
              <w:jc w:val="center"/>
              <w:rPr>
                <w:rFonts w:hint="default" w:ascii="宋体" w:hAnsi="宋体" w:eastAsia="宋体" w:cs="宋体"/>
                <w:kern w:val="2"/>
                <w:sz w:val="24"/>
                <w:szCs w:val="24"/>
                <w:vertAlign w:val="baseline"/>
                <w:lang w:val="en-US" w:eastAsia="zh-CN" w:bidi="ar-SA"/>
              </w:rPr>
            </w:pPr>
            <w:r>
              <w:rPr>
                <w:rFonts w:hint="default" w:ascii="宋体" w:hAnsi="宋体" w:eastAsia="宋体" w:cs="宋体"/>
                <w:kern w:val="2"/>
                <w:sz w:val="24"/>
                <w:szCs w:val="24"/>
                <w:vertAlign w:val="baseline"/>
                <w:lang w:val="en-US" w:eastAsia="zh-CN" w:bidi="ar-SA"/>
              </w:rPr>
              <w:t>结算费用=当月铁水产量*单价</w:t>
            </w:r>
          </w:p>
          <w:p>
            <w:pPr>
              <w:tabs>
                <w:tab w:val="left" w:pos="420"/>
                <w:tab w:val="left" w:pos="630"/>
              </w:tabs>
              <w:spacing w:line="300" w:lineRule="auto"/>
              <w:jc w:val="center"/>
              <w:rPr>
                <w:rFonts w:hint="eastAsia" w:ascii="宋体" w:hAnsi="宋体" w:eastAsia="宋体" w:cs="宋体"/>
                <w:kern w:val="2"/>
                <w:sz w:val="24"/>
                <w:szCs w:val="24"/>
                <w:vertAlign w:val="baseline"/>
                <w:lang w:val="en-US" w:eastAsia="zh-CN" w:bidi="ar-SA"/>
              </w:rPr>
            </w:pPr>
            <w:r>
              <w:rPr>
                <w:rFonts w:hint="default" w:ascii="宋体" w:hAnsi="宋体" w:eastAsia="宋体" w:cs="宋体"/>
                <w:kern w:val="2"/>
                <w:sz w:val="24"/>
                <w:szCs w:val="24"/>
                <w:vertAlign w:val="baseline"/>
                <w:lang w:val="en-US" w:eastAsia="zh-CN" w:bidi="ar-SA"/>
              </w:rPr>
              <w:t>铁</w:t>
            </w:r>
            <w:r>
              <w:rPr>
                <w:rFonts w:hint="default" w:ascii="宋体" w:hAnsi="宋体" w:eastAsia="宋体" w:cs="宋体"/>
                <w:color w:val="auto"/>
                <w:kern w:val="2"/>
                <w:sz w:val="24"/>
                <w:szCs w:val="24"/>
                <w:vertAlign w:val="baseline"/>
                <w:lang w:val="en-US" w:eastAsia="zh-CN" w:bidi="ar-SA"/>
              </w:rPr>
              <w:t>水产量</w:t>
            </w:r>
            <w:r>
              <w:rPr>
                <w:rFonts w:hint="eastAsia" w:ascii="宋体" w:hAnsi="宋体" w:cs="宋体"/>
                <w:color w:val="auto"/>
                <w:kern w:val="2"/>
                <w:sz w:val="24"/>
                <w:szCs w:val="24"/>
                <w:vertAlign w:val="baseline"/>
                <w:lang w:val="en-US" w:eastAsia="zh-CN" w:bidi="ar-SA"/>
              </w:rPr>
              <w:t>月均约23.5万吨</w:t>
            </w:r>
          </w:p>
        </w:tc>
        <w:tc>
          <w:tcPr>
            <w:tcW w:w="1380" w:type="dxa"/>
            <w:tcBorders>
              <w:top w:val="single" w:color="auto" w:sz="4" w:space="0"/>
              <w:left w:val="single" w:color="auto" w:sz="4" w:space="0"/>
              <w:bottom w:val="single" w:color="auto" w:sz="4" w:space="0"/>
              <w:right w:val="single" w:color="auto" w:sz="4" w:space="0"/>
            </w:tcBorders>
            <w:shd w:val="clear" w:color="auto" w:fill="FFFFFF"/>
            <w:tcMar>
              <w:top w:w="60" w:type="dxa"/>
              <w:left w:w="150" w:type="dxa"/>
              <w:bottom w:w="60" w:type="dxa"/>
              <w:right w:w="150" w:type="dxa"/>
            </w:tcMar>
            <w:vAlign w:val="center"/>
          </w:tcPr>
          <w:p>
            <w:pPr>
              <w:spacing w:line="360" w:lineRule="auto"/>
              <w:jc w:val="center"/>
              <w:rPr>
                <w:rFonts w:hint="eastAsia" w:ascii="宋体" w:hAnsi="宋体" w:eastAsia="宋体" w:cs="宋体"/>
                <w:kern w:val="2"/>
                <w:sz w:val="24"/>
                <w:szCs w:val="24"/>
                <w:vertAlign w:val="baseline"/>
                <w:lang w:val="en-US" w:eastAsia="zh-CN" w:bidi="ar-SA"/>
              </w:rPr>
            </w:pPr>
          </w:p>
        </w:tc>
        <w:tc>
          <w:tcPr>
            <w:tcW w:w="1743" w:type="dxa"/>
            <w:tcBorders>
              <w:top w:val="single" w:color="auto" w:sz="4" w:space="0"/>
              <w:left w:val="single" w:color="auto" w:sz="4" w:space="0"/>
              <w:bottom w:val="single" w:color="auto" w:sz="4" w:space="0"/>
              <w:right w:val="single" w:color="auto" w:sz="4" w:space="0"/>
            </w:tcBorders>
            <w:shd w:val="clear" w:color="auto" w:fill="FFFFFF"/>
            <w:tcMar>
              <w:top w:w="60" w:type="dxa"/>
              <w:left w:w="150" w:type="dxa"/>
              <w:bottom w:w="60" w:type="dxa"/>
              <w:right w:w="150" w:type="dxa"/>
            </w:tcMar>
            <w:vAlign w:val="center"/>
          </w:tcPr>
          <w:p>
            <w:pPr>
              <w:spacing w:line="360" w:lineRule="auto"/>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次月付款</w:t>
            </w:r>
          </w:p>
          <w:p>
            <w:pPr>
              <w:spacing w:line="360" w:lineRule="auto"/>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（承兑汇票）</w:t>
            </w:r>
          </w:p>
        </w:tc>
      </w:tr>
    </w:tbl>
    <w:p>
      <w:pPr>
        <w:numPr>
          <w:ilvl w:val="0"/>
          <w:numId w:val="0"/>
        </w:num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1、当月铁水产量依据芜湖新兴铸管有限责任公司报表数据。</w:t>
      </w: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ascii="宋体" w:hAnsi="宋体" w:eastAsia="宋体" w:cs="宋体"/>
          <w:sz w:val="28"/>
          <w:szCs w:val="24"/>
          <w:lang w:val="en-US" w:eastAsia="zh-CN"/>
        </w:rPr>
      </w:pPr>
      <w:r>
        <w:rPr>
          <w:rFonts w:hint="eastAsia"/>
          <w:lang w:val="en-US" w:eastAsia="zh-CN"/>
        </w:rPr>
        <w:t xml:space="preserve">   </w:t>
      </w:r>
      <w:r>
        <w:rPr>
          <w:rFonts w:hint="eastAsia" w:ascii="宋体" w:hAnsi="宋体" w:eastAsia="宋体" w:cs="宋体"/>
          <w:sz w:val="28"/>
          <w:szCs w:val="24"/>
          <w:lang w:eastAsia="zh-CN"/>
        </w:rPr>
        <w:t>报价单位</w:t>
      </w:r>
      <w:r>
        <w:rPr>
          <w:rFonts w:hint="eastAsia" w:ascii="宋体" w:hAnsi="宋体" w:cs="宋体"/>
          <w:sz w:val="28"/>
          <w:szCs w:val="24"/>
          <w:lang w:eastAsia="zh-CN"/>
        </w:rPr>
        <w:t>（</w:t>
      </w:r>
      <w:r>
        <w:rPr>
          <w:rFonts w:hint="eastAsia" w:ascii="宋体" w:hAnsi="宋体" w:cs="宋体"/>
          <w:sz w:val="28"/>
          <w:szCs w:val="24"/>
          <w:lang w:val="en-US" w:eastAsia="zh-CN"/>
        </w:rPr>
        <w:t>盖章</w:t>
      </w:r>
      <w:r>
        <w:rPr>
          <w:rFonts w:hint="eastAsia" w:ascii="宋体" w:hAnsi="宋体" w:cs="宋体"/>
          <w:sz w:val="28"/>
          <w:szCs w:val="24"/>
          <w:lang w:eastAsia="zh-CN"/>
        </w:rPr>
        <w:t>）：</w:t>
      </w:r>
      <w:r>
        <w:rPr>
          <w:rFonts w:hint="eastAsia" w:ascii="宋体" w:hAnsi="宋体" w:cs="宋体"/>
          <w:sz w:val="28"/>
          <w:szCs w:val="24"/>
          <w:lang w:val="en-US" w:eastAsia="zh-CN"/>
        </w:rPr>
        <w:t xml:space="preserve">                  </w:t>
      </w:r>
      <w:r>
        <w:rPr>
          <w:rFonts w:hint="eastAsia" w:ascii="宋体" w:hAnsi="宋体" w:eastAsia="宋体" w:cs="宋体"/>
          <w:sz w:val="28"/>
          <w:szCs w:val="24"/>
          <w:lang w:eastAsia="zh-CN"/>
        </w:rPr>
        <w:t>时间</w:t>
      </w:r>
      <w:r>
        <w:rPr>
          <w:rFonts w:hint="eastAsia" w:ascii="宋体" w:hAnsi="宋体" w:cs="宋体"/>
          <w:sz w:val="28"/>
          <w:szCs w:val="24"/>
          <w:lang w:val="en-US" w:eastAsia="zh-CN"/>
        </w:rPr>
        <w:t>：</w:t>
      </w: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jc w:val="right"/>
        <w:rPr>
          <w:rFonts w:hint="eastAsia" w:ascii="宋体" w:hAnsi="宋体"/>
          <w:b/>
          <w:color w:val="auto"/>
          <w:sz w:val="28"/>
          <w:szCs w:val="28"/>
          <w:lang w:val="en-US" w:eastAsia="zh-CN"/>
        </w:rPr>
      </w:pPr>
      <w:r>
        <w:rPr>
          <w:rFonts w:hint="eastAsia" w:ascii="宋体" w:hAnsi="宋体"/>
          <w:b/>
          <w:color w:val="auto"/>
          <w:sz w:val="28"/>
          <w:szCs w:val="28"/>
        </w:rPr>
        <w:t>芜湖新兴</w:t>
      </w:r>
      <w:r>
        <w:rPr>
          <w:rFonts w:hint="eastAsia" w:ascii="宋体" w:hAnsi="宋体"/>
          <w:b/>
          <w:color w:val="auto"/>
          <w:sz w:val="28"/>
          <w:szCs w:val="28"/>
          <w:lang w:val="en-US" w:eastAsia="zh-CN"/>
        </w:rPr>
        <w:t>铸管有限责任公司</w:t>
      </w:r>
    </w:p>
    <w:p>
      <w:pPr>
        <w:spacing w:line="240" w:lineRule="auto"/>
        <w:jc w:val="right"/>
        <w:rPr>
          <w:rFonts w:hint="eastAsia" w:ascii="宋体" w:hAnsi="宋体"/>
          <w:b/>
          <w:color w:val="auto"/>
          <w:sz w:val="28"/>
          <w:szCs w:val="28"/>
        </w:rPr>
      </w:pPr>
      <w:r>
        <w:rPr>
          <w:rFonts w:hint="eastAsia" w:ascii="宋体" w:hAnsi="宋体"/>
          <w:b/>
          <w:color w:val="auto"/>
          <w:sz w:val="28"/>
          <w:szCs w:val="28"/>
        </w:rPr>
        <w:t>招标办</w:t>
      </w:r>
    </w:p>
    <w:p>
      <w:pPr>
        <w:widowControl w:val="0"/>
        <w:spacing w:line="400" w:lineRule="atLeast"/>
        <w:jc w:val="center"/>
      </w:pPr>
      <w:r>
        <w:rPr>
          <w:rFonts w:hint="eastAsia" w:ascii="宋体" w:hAnsi="宋体"/>
          <w:color w:val="auto"/>
          <w:sz w:val="24"/>
          <w:szCs w:val="24"/>
          <w:lang w:val="en-US" w:eastAsia="zh-CN"/>
        </w:rPr>
        <w:t xml:space="preserve">                                                                      2020</w:t>
      </w:r>
      <w:r>
        <w:rPr>
          <w:rFonts w:ascii="宋体" w:hAnsi="宋体"/>
          <w:color w:val="auto"/>
          <w:sz w:val="24"/>
          <w:szCs w:val="24"/>
        </w:rPr>
        <w:t>年</w:t>
      </w:r>
      <w:r>
        <w:rPr>
          <w:rFonts w:hint="eastAsia" w:ascii="宋体" w:hAnsi="宋体"/>
          <w:color w:val="auto"/>
          <w:sz w:val="24"/>
          <w:szCs w:val="24"/>
          <w:lang w:val="en-US" w:eastAsia="zh-CN"/>
        </w:rPr>
        <w:t>6</w:t>
      </w:r>
      <w:r>
        <w:rPr>
          <w:rFonts w:ascii="宋体" w:hAnsi="宋体"/>
          <w:color w:val="auto"/>
          <w:sz w:val="24"/>
          <w:szCs w:val="24"/>
        </w:rPr>
        <w:t>月</w:t>
      </w:r>
      <w:r>
        <w:rPr>
          <w:rFonts w:hint="eastAsia" w:ascii="宋体" w:hAnsi="宋体"/>
          <w:color w:val="auto"/>
          <w:sz w:val="24"/>
          <w:szCs w:val="24"/>
          <w:lang w:val="en-US" w:eastAsia="zh-CN"/>
        </w:rPr>
        <w:t>16</w:t>
      </w:r>
      <w:r>
        <w:rPr>
          <w:rFonts w:ascii="宋体" w:hAnsi="宋体"/>
          <w:color w:val="auto"/>
          <w:sz w:val="24"/>
          <w:szCs w:val="24"/>
        </w:rPr>
        <w:t>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2">
    <w:nsid w:val="B016B801"/>
    <w:multiLevelType w:val="singleLevel"/>
    <w:tmpl w:val="B016B801"/>
    <w:lvl w:ilvl="0" w:tentative="0">
      <w:start w:val="1"/>
      <w:numFmt w:val="decimal"/>
      <w:lvlText w:val="(%1)"/>
      <w:lvlJc w:val="left"/>
      <w:pPr>
        <w:ind w:left="425" w:hanging="425"/>
      </w:pPr>
      <w:rPr>
        <w:rFonts w:hint="default"/>
      </w:rPr>
    </w:lvl>
  </w:abstractNum>
  <w:abstractNum w:abstractNumId="3">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4">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5">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4C2AC38A"/>
    <w:multiLevelType w:val="singleLevel"/>
    <w:tmpl w:val="4C2AC38A"/>
    <w:lvl w:ilvl="0" w:tentative="0">
      <w:start w:val="1"/>
      <w:numFmt w:val="decimal"/>
      <w:suff w:val="space"/>
      <w:lvlText w:val="%1."/>
      <w:lvlJc w:val="left"/>
    </w:lvl>
  </w:abstractNum>
  <w:abstractNum w:abstractNumId="7">
    <w:nsid w:val="5EB40B69"/>
    <w:multiLevelType w:val="singleLevel"/>
    <w:tmpl w:val="5EB40B69"/>
    <w:lvl w:ilvl="0" w:tentative="0">
      <w:start w:val="1"/>
      <w:numFmt w:val="decimal"/>
      <w:lvlText w:val="%1."/>
      <w:lvlJc w:val="left"/>
      <w:pPr>
        <w:ind w:left="425" w:hanging="425"/>
      </w:pPr>
      <w:rPr>
        <w:rFonts w:hint="default"/>
      </w:rPr>
    </w:lvl>
  </w:abstractNum>
  <w:abstractNum w:abstractNumId="8">
    <w:nsid w:val="6A18A551"/>
    <w:multiLevelType w:val="singleLevel"/>
    <w:tmpl w:val="6A18A551"/>
    <w:lvl w:ilvl="0" w:tentative="0">
      <w:start w:val="1"/>
      <w:numFmt w:val="decimal"/>
      <w:suff w:val="nothing"/>
      <w:lvlText w:val="%1．"/>
      <w:lvlJc w:val="left"/>
      <w:pPr>
        <w:ind w:left="0" w:firstLine="400"/>
      </w:pPr>
      <w:rPr>
        <w:rFonts w:hint="default"/>
      </w:rPr>
    </w:lvl>
  </w:abstractNum>
  <w:abstractNum w:abstractNumId="9">
    <w:nsid w:val="7182F057"/>
    <w:multiLevelType w:val="singleLevel"/>
    <w:tmpl w:val="7182F057"/>
    <w:lvl w:ilvl="0" w:tentative="0">
      <w:start w:val="1"/>
      <w:numFmt w:val="decimal"/>
      <w:lvlText w:val="%1."/>
      <w:lvlJc w:val="left"/>
      <w:pPr>
        <w:ind w:left="425" w:hanging="425"/>
      </w:pPr>
      <w:rPr>
        <w:rFonts w:hint="default"/>
      </w:rPr>
    </w:lvl>
  </w:abstractNum>
  <w:num w:numId="1">
    <w:abstractNumId w:val="4"/>
    <w:lvlOverride w:ilvl="0">
      <w:startOverride w:val="1"/>
    </w:lvlOverride>
  </w:num>
  <w:num w:numId="2">
    <w:abstractNumId w:val="6"/>
  </w:num>
  <w:num w:numId="3">
    <w:abstractNumId w:val="2"/>
  </w:num>
  <w:num w:numId="4">
    <w:abstractNumId w:val="5"/>
  </w:num>
  <w:num w:numId="5">
    <w:abstractNumId w:val="3"/>
  </w:num>
  <w:num w:numId="6">
    <w:abstractNumId w:val="1"/>
  </w:num>
  <w:num w:numId="7">
    <w:abstractNumId w:val="8"/>
  </w:num>
  <w:num w:numId="8">
    <w:abstractNumId w:val="0"/>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02082AB0"/>
    <w:rsid w:val="047F6611"/>
    <w:rsid w:val="04A2403A"/>
    <w:rsid w:val="0920424B"/>
    <w:rsid w:val="10772EB5"/>
    <w:rsid w:val="11042718"/>
    <w:rsid w:val="11DE5603"/>
    <w:rsid w:val="13BA318B"/>
    <w:rsid w:val="1C28711D"/>
    <w:rsid w:val="1FC61767"/>
    <w:rsid w:val="234F5E22"/>
    <w:rsid w:val="235F129F"/>
    <w:rsid w:val="23F27268"/>
    <w:rsid w:val="252D19D6"/>
    <w:rsid w:val="25A87FB8"/>
    <w:rsid w:val="2D230D73"/>
    <w:rsid w:val="2ED2630E"/>
    <w:rsid w:val="318547A2"/>
    <w:rsid w:val="323F2693"/>
    <w:rsid w:val="330D5B2A"/>
    <w:rsid w:val="34FF5DC8"/>
    <w:rsid w:val="364405EB"/>
    <w:rsid w:val="36817EBB"/>
    <w:rsid w:val="390D4485"/>
    <w:rsid w:val="39CB2D53"/>
    <w:rsid w:val="3A4B4F63"/>
    <w:rsid w:val="3EE92E85"/>
    <w:rsid w:val="3F114200"/>
    <w:rsid w:val="41417945"/>
    <w:rsid w:val="513C3EF8"/>
    <w:rsid w:val="556B3A6A"/>
    <w:rsid w:val="589B3C10"/>
    <w:rsid w:val="596D27DA"/>
    <w:rsid w:val="5DA113C7"/>
    <w:rsid w:val="603E0EA5"/>
    <w:rsid w:val="607D1710"/>
    <w:rsid w:val="6C373C66"/>
    <w:rsid w:val="71CE0F14"/>
    <w:rsid w:val="725D12C8"/>
    <w:rsid w:val="76892D68"/>
    <w:rsid w:val="79597486"/>
    <w:rsid w:val="7A036D45"/>
    <w:rsid w:val="7A2558BE"/>
    <w:rsid w:val="7C736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0"/>
      <w:szCs w:val="20"/>
      <w:lang w:val="zh-CN" w:eastAsia="zh-CN" w:bidi="zh-CN"/>
    </w:rPr>
  </w:style>
  <w:style w:type="paragraph" w:styleId="3">
    <w:name w:val="Body Text Indent"/>
    <w:basedOn w:val="1"/>
    <w:uiPriority w:val="0"/>
    <w:pPr>
      <w:spacing w:after="120" w:afterLines="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p0"/>
    <w:basedOn w:val="1"/>
    <w:qFormat/>
    <w:uiPriority w:val="0"/>
  </w:style>
  <w:style w:type="paragraph" w:customStyle="1" w:styleId="11">
    <w:name w:val="Table Paragraph"/>
    <w:basedOn w:val="1"/>
    <w:qFormat/>
    <w:uiPriority w:val="1"/>
    <w:pPr>
      <w:ind w:left="64"/>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陈凯</cp:lastModifiedBy>
  <dcterms:modified xsi:type="dcterms:W3CDTF">2020-06-16T08:56:34Z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