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修建部砼运输项目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6</w:t>
      </w:r>
      <w:r>
        <w:rPr>
          <w:rFonts w:ascii="宋体" w:hAnsi="宋体"/>
          <w:color w:val="000000"/>
        </w:rPr>
        <w:t>月</w:t>
      </w:r>
      <w:r>
        <w:rPr>
          <w:rFonts w:hint="eastAsia" w:ascii="宋体" w:hAnsi="宋体"/>
          <w:color w:val="000000"/>
          <w:lang w:val="en-US" w:eastAsia="zh-CN"/>
        </w:rPr>
        <w:t>23</w:t>
      </w:r>
      <w:bookmarkStart w:id="0" w:name="_GoBack"/>
      <w:bookmarkEnd w:id="0"/>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YSQC202007003XJBTYS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修建部砼运输项目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80" w:firstLineChars="200"/>
        <w:jc w:val="both"/>
        <w:textAlignment w:val="auto"/>
        <w:outlineLvl w:val="9"/>
        <w:rPr>
          <w:rFonts w:hint="default" w:ascii="宋体" w:hAnsi="宋体"/>
          <w:lang w:val="en-US" w:eastAsia="zh-CN"/>
        </w:rPr>
      </w:pPr>
      <w:r>
        <w:rPr>
          <w:rFonts w:hint="eastAsia" w:ascii="宋体" w:hAnsi="宋体" w:cs="宋体"/>
          <w:sz w:val="24"/>
          <w:szCs w:val="24"/>
          <w:lang w:eastAsia="zh-CN"/>
        </w:rPr>
        <w:t>将搅拌站生产的砼使用</w:t>
      </w:r>
      <w:r>
        <w:rPr>
          <w:rFonts w:hint="eastAsia" w:ascii="宋体" w:hAnsi="宋体" w:cs="宋体"/>
          <w:sz w:val="24"/>
          <w:szCs w:val="24"/>
          <w:lang w:val="en-US" w:eastAsia="zh-CN"/>
        </w:rPr>
        <w:t>4.5m³以上</w:t>
      </w:r>
      <w:r>
        <w:rPr>
          <w:rFonts w:hint="eastAsia" w:ascii="宋体" w:hAnsi="宋体" w:cs="宋体"/>
          <w:sz w:val="24"/>
          <w:szCs w:val="24"/>
          <w:lang w:eastAsia="zh-CN"/>
        </w:rPr>
        <w:t>搅拌车（</w:t>
      </w:r>
      <w:r>
        <w:rPr>
          <w:rFonts w:hint="eastAsia" w:ascii="宋体" w:hAnsi="宋体" w:cs="宋体"/>
          <w:sz w:val="24"/>
          <w:szCs w:val="24"/>
          <w:lang w:val="en-US" w:eastAsia="zh-CN"/>
        </w:rPr>
        <w:t>2-3台</w:t>
      </w:r>
      <w:r>
        <w:rPr>
          <w:rFonts w:hint="eastAsia" w:ascii="宋体" w:hAnsi="宋体" w:cs="宋体"/>
          <w:sz w:val="24"/>
          <w:szCs w:val="24"/>
          <w:lang w:eastAsia="zh-CN"/>
        </w:rPr>
        <w:t>）</w:t>
      </w:r>
      <w:r>
        <w:rPr>
          <w:rFonts w:hint="eastAsia" w:ascii="宋体" w:hAnsi="宋体" w:cs="宋体"/>
          <w:sz w:val="24"/>
          <w:szCs w:val="24"/>
          <w:lang w:val="en-US" w:eastAsia="zh-CN"/>
        </w:rPr>
        <w:t>和1台46米（或以上）泵车及时运输并泵送至指定地点</w:t>
      </w:r>
      <w:r>
        <w:rPr>
          <w:rFonts w:hint="eastAsia" w:ascii="宋体" w:hAnsi="宋体" w:cs="宋体"/>
          <w:sz w:val="24"/>
          <w:szCs w:val="24"/>
          <w:lang w:eastAsia="zh-CN"/>
        </w:rPr>
        <w:t>。</w:t>
      </w: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13</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 xml:space="preserve">下午16:30  </w:t>
      </w:r>
      <w:r>
        <w:rPr>
          <w:rFonts w:hint="eastAsia" w:ascii="宋体" w:hAnsi="宋体"/>
          <w:b w:val="0"/>
          <w:bCs/>
          <w:color w:val="auto"/>
          <w:u w:val="single"/>
        </w:rPr>
        <w:t xml:space="preserve"> </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7</w:t>
      </w:r>
      <w:r>
        <w:rPr>
          <w:rFonts w:ascii="宋体" w:hAnsi="宋体"/>
          <w:b w:val="0"/>
          <w:bCs/>
          <w:color w:val="auto"/>
        </w:rPr>
        <w:t>月</w:t>
      </w:r>
      <w:r>
        <w:rPr>
          <w:rFonts w:hint="eastAsia" w:ascii="宋体" w:hAnsi="宋体"/>
          <w:b w:val="0"/>
          <w:bCs/>
          <w:color w:val="auto"/>
          <w:u w:val="single"/>
          <w:lang w:val="en-US" w:eastAsia="zh-CN"/>
        </w:rPr>
        <w:t>15</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6</w:t>
      </w:r>
      <w:r>
        <w:rPr>
          <w:rFonts w:hint="eastAsia" w:ascii="宋体" w:hAnsi="宋体"/>
          <w:bCs/>
          <w:color w:val="7030A0"/>
        </w:rPr>
        <w:t>月</w:t>
      </w:r>
      <w:r>
        <w:rPr>
          <w:rFonts w:hint="eastAsia" w:ascii="宋体" w:hAnsi="宋体"/>
          <w:bCs/>
          <w:color w:val="7030A0"/>
          <w:u w:val="single"/>
          <w:lang w:val="en-US" w:eastAsia="zh-CN"/>
        </w:rPr>
        <w:t>8</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2、承揽单位必须具备24小时承揽服务能力，配备足够作业人员，合理安排班次，作业人员不得疲劳作业，班次调整时不得连续24小时作业。</w:t>
      </w:r>
    </w:p>
    <w:p>
      <w:pPr>
        <w:numPr>
          <w:numId w:val="0"/>
        </w:numPr>
        <w:spacing w:line="240" w:lineRule="auto"/>
        <w:ind w:left="420" w:leftChars="0"/>
        <w:rPr>
          <w:rFonts w:hint="default"/>
          <w:color w:val="auto"/>
          <w:sz w:val="24"/>
          <w:szCs w:val="24"/>
          <w:lang w:val="en-US" w:eastAsia="zh-CN"/>
        </w:rPr>
      </w:pPr>
      <w:r>
        <w:rPr>
          <w:rFonts w:hint="eastAsia"/>
          <w:color w:val="auto"/>
          <w:sz w:val="24"/>
          <w:szCs w:val="24"/>
          <w:lang w:val="en-US" w:eastAsia="zh-CN"/>
        </w:rPr>
        <w:t>3、承揽单位作业车辆须符合法律法规要求、符合公司车辆管理要求，定期做好车辆检维修工作，报废车辆一律不得进厂。承揽单位可在征得用车部门同意后，根据生产情况合理安排作业车辆数量；如遇作业量加大，承揽单位需在接到用车部门通知后12小时内增加作业车辆。</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4、承揽单位在合同履行中，必须遵守我公司的安全、生产、环保、质量、现场、车辆交通等规章制度。如违反相关规章制度，我公司将依据规章制度要求给予考核。</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6、中标单位须在收到中标通知书之日起10日内，准备好车辆、作业人员，所有作业人员需接受运输部安全培训、业务培训后方可上岗，履行合同。</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7、合同期：2020年7月29日履行至2021年1月28日。</w:t>
      </w:r>
    </w:p>
    <w:p>
      <w:pPr>
        <w:numPr>
          <w:numId w:val="0"/>
        </w:numPr>
        <w:spacing w:line="240" w:lineRule="auto"/>
        <w:ind w:left="420" w:leftChars="0"/>
        <w:rPr>
          <w:rFonts w:hint="eastAsia"/>
          <w:color w:val="auto"/>
          <w:sz w:val="24"/>
          <w:szCs w:val="24"/>
          <w:lang w:val="en-US" w:eastAsia="zh-CN"/>
        </w:rPr>
      </w:pPr>
      <w:r>
        <w:rPr>
          <w:rFonts w:hint="eastAsia"/>
          <w:color w:val="auto"/>
          <w:sz w:val="24"/>
          <w:szCs w:val="24"/>
          <w:lang w:val="en-US" w:eastAsia="zh-CN"/>
        </w:rPr>
        <w:t>8、投标单位需有道路运输许可证。</w:t>
      </w:r>
    </w:p>
    <w:p>
      <w:pPr>
        <w:numPr>
          <w:numId w:val="0"/>
        </w:numPr>
        <w:spacing w:line="240" w:lineRule="auto"/>
        <w:ind w:left="420" w:leftChars="0"/>
        <w:rPr>
          <w:rFonts w:hint="eastAsia"/>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报价表</w:t>
      </w: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不含税报价（适用税率</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none"/>
          <w:lang w:eastAsia="zh-CN"/>
        </w:rPr>
        <w:t>）</w:t>
      </w:r>
    </w:p>
    <w:p>
      <w:pPr>
        <w:rPr>
          <w:rFonts w:hint="eastAsia"/>
          <w:lang w:eastAsia="zh-CN"/>
        </w:rPr>
      </w:pPr>
    </w:p>
    <w:tbl>
      <w:tblPr>
        <w:tblStyle w:val="8"/>
        <w:tblpPr w:leftFromText="180" w:rightFromText="180" w:vertAnchor="text" w:horzAnchor="page" w:tblpX="1042" w:tblpY="33"/>
        <w:tblOverlap w:val="never"/>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57"/>
        <w:gridCol w:w="1720"/>
        <w:gridCol w:w="2809"/>
        <w:gridCol w:w="137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4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145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作业内容</w:t>
            </w:r>
          </w:p>
        </w:tc>
        <w:tc>
          <w:tcPr>
            <w:tcW w:w="172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车型</w:t>
            </w:r>
          </w:p>
        </w:tc>
        <w:tc>
          <w:tcPr>
            <w:tcW w:w="2809"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结算方式</w:t>
            </w:r>
          </w:p>
        </w:tc>
        <w:tc>
          <w:tcPr>
            <w:tcW w:w="137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单价</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元</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m³</w:t>
            </w:r>
          </w:p>
        </w:tc>
        <w:tc>
          <w:tcPr>
            <w:tcW w:w="1494"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44"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457"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砼运输</w:t>
            </w:r>
          </w:p>
        </w:tc>
        <w:tc>
          <w:tcPr>
            <w:tcW w:w="1720"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4.5m³以上</w:t>
            </w:r>
            <w:r>
              <w:rPr>
                <w:rFonts w:hint="eastAsia" w:ascii="宋体" w:hAnsi="宋体" w:cs="宋体"/>
                <w:color w:val="auto"/>
                <w:sz w:val="24"/>
                <w:szCs w:val="24"/>
                <w:highlight w:val="none"/>
                <w:vertAlign w:val="baseline"/>
                <w:lang w:eastAsia="zh-CN"/>
              </w:rPr>
              <w:t>搅拌车（</w:t>
            </w:r>
            <w:r>
              <w:rPr>
                <w:rFonts w:hint="eastAsia" w:ascii="宋体" w:hAnsi="宋体" w:cs="宋体"/>
                <w:color w:val="auto"/>
                <w:sz w:val="24"/>
                <w:szCs w:val="24"/>
                <w:highlight w:val="none"/>
                <w:vertAlign w:val="baseline"/>
                <w:lang w:val="en-US" w:eastAsia="zh-CN"/>
              </w:rPr>
              <w:t>2-3台</w:t>
            </w:r>
            <w:r>
              <w:rPr>
                <w:rFonts w:hint="eastAsia" w:ascii="宋体" w:hAnsi="宋体" w:cs="宋体"/>
                <w:color w:val="auto"/>
                <w:sz w:val="24"/>
                <w:szCs w:val="24"/>
                <w:highlight w:val="none"/>
                <w:vertAlign w:val="baseline"/>
                <w:lang w:eastAsia="zh-CN"/>
              </w:rPr>
              <w:t>）</w:t>
            </w:r>
          </w:p>
        </w:tc>
        <w:tc>
          <w:tcPr>
            <w:tcW w:w="2809" w:type="dxa"/>
            <w:vAlign w:val="center"/>
          </w:tcPr>
          <w:p>
            <w:pPr>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结算费用=运输量*单价</w:t>
            </w:r>
          </w:p>
          <w:p>
            <w:pPr>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月均约4000 m³</w:t>
            </w:r>
          </w:p>
        </w:tc>
        <w:tc>
          <w:tcPr>
            <w:tcW w:w="1373" w:type="dxa"/>
            <w:vAlign w:val="center"/>
          </w:tcPr>
          <w:p>
            <w:pPr>
              <w:jc w:val="center"/>
              <w:rPr>
                <w:rFonts w:hint="eastAsia" w:ascii="宋体" w:hAnsi="宋体" w:eastAsia="宋体" w:cs="宋体"/>
                <w:color w:val="auto"/>
                <w:sz w:val="24"/>
                <w:szCs w:val="24"/>
                <w:vertAlign w:val="baseline"/>
              </w:rPr>
            </w:pPr>
          </w:p>
        </w:tc>
        <w:tc>
          <w:tcPr>
            <w:tcW w:w="1494" w:type="dxa"/>
            <w:vMerge w:val="restart"/>
            <w:vAlign w:val="center"/>
          </w:tcPr>
          <w:p>
            <w:pPr>
              <w:jc w:val="center"/>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次月付款（承兑汇票）</w:t>
            </w:r>
          </w:p>
          <w:p>
            <w:pPr>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44" w:type="dxa"/>
            <w:vAlign w:val="center"/>
          </w:tcPr>
          <w:p>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457"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砼泵送</w:t>
            </w:r>
          </w:p>
        </w:tc>
        <w:tc>
          <w:tcPr>
            <w:tcW w:w="1720" w:type="dxa"/>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46米（或以上）</w:t>
            </w:r>
            <w:r>
              <w:rPr>
                <w:rFonts w:hint="eastAsia" w:ascii="宋体" w:hAnsi="宋体" w:cs="宋体"/>
                <w:color w:val="auto"/>
                <w:sz w:val="24"/>
                <w:szCs w:val="24"/>
                <w:highlight w:val="none"/>
                <w:vertAlign w:val="baseline"/>
                <w:lang w:eastAsia="zh-CN"/>
              </w:rPr>
              <w:t>泵车（</w:t>
            </w:r>
            <w:r>
              <w:rPr>
                <w:rFonts w:hint="eastAsia" w:ascii="宋体" w:hAnsi="宋体" w:cs="宋体"/>
                <w:color w:val="auto"/>
                <w:sz w:val="24"/>
                <w:szCs w:val="24"/>
                <w:highlight w:val="none"/>
                <w:vertAlign w:val="baseline"/>
                <w:lang w:val="en-US" w:eastAsia="zh-CN"/>
              </w:rPr>
              <w:t>1台</w:t>
            </w:r>
            <w:r>
              <w:rPr>
                <w:rFonts w:hint="eastAsia" w:ascii="宋体" w:hAnsi="宋体" w:cs="宋体"/>
                <w:color w:val="auto"/>
                <w:sz w:val="24"/>
                <w:szCs w:val="24"/>
                <w:highlight w:val="none"/>
                <w:vertAlign w:val="baseline"/>
                <w:lang w:eastAsia="zh-CN"/>
              </w:rPr>
              <w:t>）</w:t>
            </w:r>
          </w:p>
        </w:tc>
        <w:tc>
          <w:tcPr>
            <w:tcW w:w="2809" w:type="dxa"/>
            <w:vAlign w:val="center"/>
          </w:tcPr>
          <w:p>
            <w:pPr>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结算费用=泵送量*单价</w:t>
            </w:r>
          </w:p>
          <w:p>
            <w:pPr>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月均约2000 m³</w:t>
            </w:r>
          </w:p>
        </w:tc>
        <w:tc>
          <w:tcPr>
            <w:tcW w:w="1373" w:type="dxa"/>
            <w:vAlign w:val="center"/>
          </w:tcPr>
          <w:p>
            <w:pPr>
              <w:jc w:val="center"/>
              <w:rPr>
                <w:rFonts w:hint="eastAsia" w:ascii="宋体" w:hAnsi="宋体" w:eastAsia="宋体" w:cs="宋体"/>
                <w:color w:val="auto"/>
                <w:sz w:val="24"/>
                <w:szCs w:val="24"/>
                <w:vertAlign w:val="baseline"/>
                <w:lang w:eastAsia="zh-CN"/>
              </w:rPr>
            </w:pPr>
          </w:p>
        </w:tc>
        <w:tc>
          <w:tcPr>
            <w:tcW w:w="1494" w:type="dxa"/>
            <w:vMerge w:val="continue"/>
            <w:vAlign w:val="center"/>
          </w:tcPr>
          <w:p>
            <w:pPr>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trPr>
        <w:tc>
          <w:tcPr>
            <w:tcW w:w="844" w:type="dxa"/>
            <w:vAlign w:val="center"/>
          </w:tcPr>
          <w:p>
            <w:pPr>
              <w:jc w:val="center"/>
              <w:rPr>
                <w:rFonts w:hint="eastAsia" w:ascii="宋体" w:hAnsi="宋体" w:cs="宋体"/>
                <w:color w:val="auto"/>
                <w:sz w:val="24"/>
                <w:szCs w:val="24"/>
                <w:highlight w:val="none"/>
                <w:vertAlign w:val="baseline"/>
                <w:lang w:eastAsia="zh-CN"/>
              </w:rPr>
            </w:pPr>
          </w:p>
        </w:tc>
        <w:tc>
          <w:tcPr>
            <w:tcW w:w="1457" w:type="dxa"/>
            <w:vAlign w:val="center"/>
          </w:tcPr>
          <w:p>
            <w:pPr>
              <w:jc w:val="center"/>
              <w:rPr>
                <w:rFonts w:hint="eastAsia" w:ascii="宋体" w:hAnsi="宋体" w:cs="宋体"/>
                <w:color w:val="auto"/>
                <w:sz w:val="24"/>
                <w:szCs w:val="24"/>
                <w:highlight w:val="none"/>
                <w:vertAlign w:val="baseline"/>
                <w:lang w:eastAsia="zh-CN"/>
              </w:rPr>
            </w:pPr>
          </w:p>
        </w:tc>
        <w:tc>
          <w:tcPr>
            <w:tcW w:w="1720" w:type="dxa"/>
            <w:vAlign w:val="center"/>
          </w:tcPr>
          <w:p>
            <w:pPr>
              <w:jc w:val="center"/>
              <w:rPr>
                <w:rFonts w:hint="eastAsia" w:ascii="宋体" w:hAnsi="宋体" w:cs="宋体"/>
                <w:color w:val="auto"/>
                <w:sz w:val="24"/>
                <w:szCs w:val="24"/>
                <w:highlight w:val="none"/>
                <w:vertAlign w:val="baseline"/>
                <w:lang w:val="en-US" w:eastAsia="zh-CN"/>
              </w:rPr>
            </w:pPr>
          </w:p>
        </w:tc>
        <w:tc>
          <w:tcPr>
            <w:tcW w:w="2809" w:type="dxa"/>
            <w:vAlign w:val="center"/>
          </w:tcPr>
          <w:p>
            <w:pPr>
              <w:jc w:val="center"/>
              <w:rPr>
                <w:rFonts w:hint="default"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合计</w:t>
            </w:r>
          </w:p>
        </w:tc>
        <w:tc>
          <w:tcPr>
            <w:tcW w:w="1373" w:type="dxa"/>
            <w:vAlign w:val="center"/>
          </w:tcPr>
          <w:p>
            <w:pPr>
              <w:jc w:val="center"/>
              <w:rPr>
                <w:rFonts w:hint="eastAsia" w:ascii="宋体" w:hAnsi="宋体" w:eastAsia="宋体" w:cs="宋体"/>
                <w:color w:val="auto"/>
                <w:sz w:val="24"/>
                <w:szCs w:val="24"/>
                <w:vertAlign w:val="baseline"/>
                <w:lang w:eastAsia="zh-CN"/>
              </w:rPr>
            </w:pPr>
          </w:p>
        </w:tc>
        <w:tc>
          <w:tcPr>
            <w:tcW w:w="1494" w:type="dxa"/>
            <w:vAlign w:val="center"/>
          </w:tcPr>
          <w:p>
            <w:pPr>
              <w:jc w:val="center"/>
              <w:rPr>
                <w:rFonts w:hint="eastAsia" w:ascii="宋体" w:hAnsi="宋体" w:eastAsia="宋体" w:cs="宋体"/>
                <w:color w:val="auto"/>
                <w:sz w:val="24"/>
                <w:szCs w:val="24"/>
                <w:vertAlign w:val="baseline"/>
              </w:rPr>
            </w:pPr>
          </w:p>
        </w:tc>
      </w:tr>
    </w:tbl>
    <w:p>
      <w:pPr>
        <w:spacing w:line="360" w:lineRule="auto"/>
        <w:rPr>
          <w:rFonts w:hint="eastAsia"/>
          <w:lang w:eastAsia="zh-CN"/>
        </w:rPr>
      </w:pPr>
    </w:p>
    <w:p>
      <w:pPr>
        <w:spacing w:line="360" w:lineRule="auto"/>
        <w:rPr>
          <w:rFonts w:hint="eastAsia"/>
          <w:lang w:val="en-US" w:eastAsia="zh-CN"/>
        </w:rPr>
      </w:pPr>
      <w:r>
        <w:rPr>
          <w:rFonts w:hint="eastAsia"/>
          <w:lang w:val="en-US" w:eastAsia="zh-CN"/>
        </w:rPr>
        <w:t xml:space="preserve">     </w:t>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ascii="宋体" w:hAnsi="宋体" w:eastAsia="宋体" w:cs="宋体"/>
          <w:sz w:val="28"/>
          <w:szCs w:val="24"/>
          <w:lang w:val="en-US" w:eastAsia="zh-CN"/>
        </w:rPr>
      </w:pP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rPr>
          <w:rFonts w:hint="eastAsia" w:ascii="宋体" w:hAnsi="宋体"/>
          <w:b/>
          <w:bCs/>
          <w:u w:val="single"/>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6</w:t>
      </w:r>
      <w:r>
        <w:rPr>
          <w:rFonts w:ascii="宋体" w:hAnsi="宋体"/>
          <w:color w:val="auto"/>
          <w:sz w:val="24"/>
          <w:szCs w:val="24"/>
        </w:rPr>
        <w:t>月</w:t>
      </w:r>
      <w:r>
        <w:rPr>
          <w:rFonts w:hint="eastAsia" w:ascii="宋体" w:hAnsi="宋体"/>
          <w:color w:val="auto"/>
          <w:sz w:val="24"/>
          <w:szCs w:val="24"/>
          <w:lang w:val="en-US" w:eastAsia="zh-CN"/>
        </w:rPr>
        <w:t>23</w:t>
      </w:r>
      <w:r>
        <w:rPr>
          <w:rFonts w:ascii="宋体" w:hAnsi="宋体"/>
          <w:color w:val="auto"/>
          <w:sz w:val="24"/>
          <w:szCs w:val="24"/>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C2AC38A"/>
    <w:multiLevelType w:val="singleLevel"/>
    <w:tmpl w:val="4C2AC38A"/>
    <w:lvl w:ilvl="0" w:tentative="0">
      <w:start w:val="1"/>
      <w:numFmt w:val="decimal"/>
      <w:suff w:val="space"/>
      <w:lvlText w:val="%1."/>
      <w:lvlJc w:val="left"/>
    </w:lvl>
  </w:abstractNum>
  <w:abstractNum w:abstractNumId="7">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8">
    <w:nsid w:val="7182F057"/>
    <w:multiLevelType w:val="singleLevel"/>
    <w:tmpl w:val="7182F057"/>
    <w:lvl w:ilvl="0" w:tentative="0">
      <w:start w:val="1"/>
      <w:numFmt w:val="decimal"/>
      <w:lvlText w:val="%1."/>
      <w:lvlJc w:val="left"/>
      <w:pPr>
        <w:ind w:left="425" w:hanging="425"/>
      </w:pPr>
      <w:rPr>
        <w:rFonts w:hint="default"/>
      </w:rPr>
    </w:lvl>
  </w:abstractNum>
  <w:num w:numId="1">
    <w:abstractNumId w:val="4"/>
    <w:lvlOverride w:ilvl="0">
      <w:startOverride w:val="1"/>
    </w:lvlOverride>
  </w:num>
  <w:num w:numId="2">
    <w:abstractNumId w:val="6"/>
  </w:num>
  <w:num w:numId="3">
    <w:abstractNumId w:val="2"/>
  </w:num>
  <w:num w:numId="4">
    <w:abstractNumId w:val="5"/>
  </w:num>
  <w:num w:numId="5">
    <w:abstractNumId w:val="3"/>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6071AF8"/>
    <w:rsid w:val="0920424B"/>
    <w:rsid w:val="10772EB5"/>
    <w:rsid w:val="11042718"/>
    <w:rsid w:val="11DE5603"/>
    <w:rsid w:val="13BA318B"/>
    <w:rsid w:val="187E0183"/>
    <w:rsid w:val="1C28711D"/>
    <w:rsid w:val="1FC61767"/>
    <w:rsid w:val="234F5E22"/>
    <w:rsid w:val="235F129F"/>
    <w:rsid w:val="23F27268"/>
    <w:rsid w:val="252D19D6"/>
    <w:rsid w:val="25A87FB8"/>
    <w:rsid w:val="2D230D73"/>
    <w:rsid w:val="2ED2630E"/>
    <w:rsid w:val="318547A2"/>
    <w:rsid w:val="323F2693"/>
    <w:rsid w:val="330D5B2A"/>
    <w:rsid w:val="34FF5DC8"/>
    <w:rsid w:val="364405EB"/>
    <w:rsid w:val="36817EBB"/>
    <w:rsid w:val="390D4485"/>
    <w:rsid w:val="39CB2D53"/>
    <w:rsid w:val="3A4B4F63"/>
    <w:rsid w:val="3D9E1232"/>
    <w:rsid w:val="3F114200"/>
    <w:rsid w:val="41417945"/>
    <w:rsid w:val="513C3EF8"/>
    <w:rsid w:val="556B3A6A"/>
    <w:rsid w:val="589B3C10"/>
    <w:rsid w:val="5D1429B9"/>
    <w:rsid w:val="5DA113C7"/>
    <w:rsid w:val="603E0EA5"/>
    <w:rsid w:val="607D1710"/>
    <w:rsid w:val="71CE0F14"/>
    <w:rsid w:val="725D12C8"/>
    <w:rsid w:val="76892D68"/>
    <w:rsid w:val="7A2558BE"/>
    <w:rsid w:val="7C736239"/>
    <w:rsid w:val="7E33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2020-06-22T09:25:53Z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