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危化品回提运输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6</w:t>
      </w:r>
      <w:r>
        <w:rPr>
          <w:rFonts w:ascii="宋体" w:hAnsi="宋体"/>
          <w:color w:val="000000"/>
        </w:rPr>
        <w:t>月</w:t>
      </w:r>
      <w:r>
        <w:rPr>
          <w:rFonts w:hint="eastAsia" w:ascii="宋体" w:hAnsi="宋体"/>
          <w:color w:val="000000"/>
          <w:lang w:val="en-US" w:eastAsia="zh-CN"/>
        </w:rPr>
        <w:t>24</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YSQC202007004WHPHTYS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危化品回提运输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宋体" w:hAnsi="宋体" w:cs="宋体"/>
          <w:b w:val="0"/>
          <w:bCs w:val="0"/>
          <w:color w:val="auto"/>
          <w:sz w:val="24"/>
          <w:szCs w:val="24"/>
          <w:u w:val="none" w:color="auto"/>
          <w:lang w:eastAsia="zh-CN"/>
        </w:rPr>
      </w:pPr>
      <w:r>
        <w:rPr>
          <w:rFonts w:hint="eastAsia" w:ascii="宋体" w:hAnsi="宋体" w:cs="宋体"/>
          <w:b w:val="0"/>
          <w:bCs w:val="0"/>
          <w:color w:val="auto"/>
          <w:sz w:val="24"/>
          <w:szCs w:val="24"/>
          <w:u w:val="none" w:color="auto"/>
          <w:lang w:eastAsia="zh-CN"/>
        </w:rPr>
        <w:t>标段一、液碱、盐酸回提运输</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cs="宋体"/>
          <w:b w:val="0"/>
          <w:bCs w:val="0"/>
          <w:color w:val="auto"/>
          <w:sz w:val="24"/>
          <w:szCs w:val="24"/>
          <w:u w:val="none" w:color="auto"/>
          <w:lang w:val="en-US" w:eastAsia="zh-CN"/>
        </w:rPr>
      </w:pPr>
      <w:r>
        <w:rPr>
          <w:rFonts w:hint="eastAsia" w:ascii="宋体" w:hAnsi="宋体" w:eastAsia="宋体" w:cs="宋体"/>
          <w:b w:val="0"/>
          <w:bCs w:val="0"/>
          <w:sz w:val="24"/>
          <w:szCs w:val="24"/>
          <w:lang w:eastAsia="zh-CN"/>
        </w:rPr>
        <w:t>将芜湖新兴从</w:t>
      </w:r>
      <w:r>
        <w:rPr>
          <w:rFonts w:hint="eastAsia" w:ascii="宋体" w:hAnsi="宋体" w:eastAsia="宋体" w:cs="宋体"/>
          <w:b w:val="0"/>
          <w:bCs w:val="0"/>
          <w:sz w:val="24"/>
          <w:szCs w:val="24"/>
          <w:lang w:val="en-US" w:eastAsia="zh-CN"/>
        </w:rPr>
        <w:t>芜湖融汇化工有限公司</w:t>
      </w:r>
      <w:r>
        <w:rPr>
          <w:rFonts w:hint="eastAsia" w:ascii="宋体" w:hAnsi="宋体" w:eastAsia="宋体" w:cs="宋体"/>
          <w:b w:val="0"/>
          <w:bCs w:val="0"/>
          <w:sz w:val="24"/>
          <w:szCs w:val="24"/>
          <w:lang w:eastAsia="zh-CN"/>
        </w:rPr>
        <w:t>采购的</w:t>
      </w:r>
      <w:r>
        <w:rPr>
          <w:rFonts w:hint="eastAsia" w:ascii="宋体" w:hAnsi="宋体" w:eastAsia="宋体" w:cs="宋体"/>
          <w:b w:val="0"/>
          <w:bCs w:val="0"/>
          <w:sz w:val="24"/>
          <w:szCs w:val="24"/>
          <w:lang w:val="en-US" w:eastAsia="zh-CN"/>
        </w:rPr>
        <w:t>盐酸、液碱等危化品，通过运输业务外包招标，确定自提回厂</w:t>
      </w:r>
      <w:r>
        <w:rPr>
          <w:rFonts w:hint="eastAsia" w:ascii="宋体" w:hAnsi="宋体" w:cs="宋体"/>
          <w:b w:val="0"/>
          <w:bCs w:val="0"/>
          <w:sz w:val="24"/>
          <w:szCs w:val="24"/>
          <w:lang w:val="en-US" w:eastAsia="zh-CN"/>
        </w:rPr>
        <w:t>承揽</w:t>
      </w:r>
      <w:r>
        <w:rPr>
          <w:rFonts w:hint="eastAsia" w:ascii="宋体" w:hAnsi="宋体" w:eastAsia="宋体" w:cs="宋体"/>
          <w:b w:val="0"/>
          <w:bCs w:val="0"/>
          <w:sz w:val="24"/>
          <w:szCs w:val="24"/>
          <w:lang w:val="en-US" w:eastAsia="zh-CN"/>
        </w:rPr>
        <w:t>运输单位，液碱</w:t>
      </w:r>
      <w:r>
        <w:rPr>
          <w:rFonts w:hint="eastAsia" w:ascii="宋体" w:hAnsi="宋体" w:eastAsia="宋体" w:cs="宋体"/>
          <w:b w:val="0"/>
          <w:bCs w:val="0"/>
          <w:sz w:val="24"/>
          <w:szCs w:val="24"/>
          <w:lang w:eastAsia="zh-CN"/>
        </w:rPr>
        <w:t>每月运量约</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0吨</w:t>
      </w:r>
      <w:r>
        <w:rPr>
          <w:rFonts w:hint="eastAsia" w:ascii="宋体" w:hAnsi="宋体" w:cs="宋体"/>
          <w:b w:val="0"/>
          <w:bCs w:val="0"/>
          <w:sz w:val="24"/>
          <w:szCs w:val="24"/>
          <w:lang w:val="en-US" w:eastAsia="zh-CN"/>
        </w:rPr>
        <w:t>，</w:t>
      </w:r>
      <w:r>
        <w:rPr>
          <w:rFonts w:hint="eastAsia" w:ascii="宋体" w:hAnsi="宋体" w:cs="宋体"/>
          <w:b w:val="0"/>
          <w:bCs w:val="0"/>
          <w:color w:val="auto"/>
          <w:sz w:val="24"/>
          <w:szCs w:val="24"/>
          <w:u w:val="none" w:color="auto"/>
          <w:lang w:val="en-US" w:eastAsia="zh-CN"/>
        </w:rPr>
        <w:t>整车运输，</w:t>
      </w:r>
      <w:r>
        <w:rPr>
          <w:rFonts w:hint="eastAsia" w:ascii="宋体" w:hAnsi="宋体" w:eastAsia="宋体" w:cs="宋体"/>
          <w:b w:val="0"/>
          <w:bCs w:val="0"/>
          <w:sz w:val="24"/>
          <w:szCs w:val="24"/>
          <w:lang w:val="en-US" w:eastAsia="zh-CN"/>
        </w:rPr>
        <w:t>盐酸每月运量约3车</w:t>
      </w:r>
      <w:r>
        <w:rPr>
          <w:rFonts w:hint="eastAsia" w:ascii="宋体" w:hAnsi="宋体" w:cs="宋体"/>
          <w:b w:val="0"/>
          <w:bCs w:val="0"/>
          <w:color w:val="auto"/>
          <w:sz w:val="24"/>
          <w:szCs w:val="24"/>
          <w:u w:val="none" w:color="auto"/>
          <w:lang w:val="en-US" w:eastAsia="zh-CN"/>
        </w:rPr>
        <w:t>，均为长期业务。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宋体" w:hAnsi="宋体" w:cs="宋体"/>
          <w:b w:val="0"/>
          <w:bCs w:val="0"/>
          <w:color w:val="auto"/>
          <w:sz w:val="24"/>
          <w:szCs w:val="24"/>
          <w:u w:val="none" w:color="auto"/>
          <w:lang w:eastAsia="zh-CN"/>
        </w:rPr>
      </w:pPr>
      <w:r>
        <w:rPr>
          <w:rFonts w:hint="eastAsia" w:ascii="宋体" w:hAnsi="宋体" w:cs="宋体"/>
          <w:b w:val="0"/>
          <w:bCs w:val="0"/>
          <w:color w:val="auto"/>
          <w:sz w:val="24"/>
          <w:szCs w:val="24"/>
          <w:u w:val="none" w:color="auto"/>
          <w:lang w:eastAsia="zh-CN"/>
        </w:rPr>
        <w:t>标段二、硫酸回提运输</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rPr>
          <w:rFonts w:hint="default"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 xml:space="preserve"> 将芜湖新兴在铜陵有色金属有限公司采购的危化品硫酸回提进厂，</w:t>
      </w:r>
      <w:r>
        <w:rPr>
          <w:rFonts w:hint="eastAsia" w:ascii="宋体" w:hAnsi="宋体" w:eastAsia="宋体" w:cs="宋体"/>
          <w:b w:val="0"/>
          <w:bCs w:val="0"/>
          <w:sz w:val="24"/>
          <w:szCs w:val="24"/>
          <w:lang w:val="en-US" w:eastAsia="zh-CN"/>
        </w:rPr>
        <w:t>通过运输业务外包招标，确定自提回厂</w:t>
      </w:r>
      <w:r>
        <w:rPr>
          <w:rFonts w:hint="eastAsia" w:ascii="宋体" w:hAnsi="宋体" w:cs="宋体"/>
          <w:b w:val="0"/>
          <w:bCs w:val="0"/>
          <w:sz w:val="24"/>
          <w:szCs w:val="24"/>
          <w:lang w:val="en-US" w:eastAsia="zh-CN"/>
        </w:rPr>
        <w:t>承揽</w:t>
      </w:r>
      <w:r>
        <w:rPr>
          <w:rFonts w:hint="eastAsia" w:ascii="宋体" w:hAnsi="宋体" w:eastAsia="宋体" w:cs="宋体"/>
          <w:b w:val="0"/>
          <w:bCs w:val="0"/>
          <w:sz w:val="24"/>
          <w:szCs w:val="24"/>
          <w:lang w:val="en-US" w:eastAsia="zh-CN"/>
        </w:rPr>
        <w:t>运输单位</w:t>
      </w:r>
      <w:r>
        <w:rPr>
          <w:rFonts w:hint="eastAsia" w:ascii="宋体" w:hAnsi="宋体" w:cs="宋体"/>
          <w:b w:val="0"/>
          <w:bCs w:val="0"/>
          <w:sz w:val="24"/>
          <w:szCs w:val="24"/>
          <w:lang w:val="en-US" w:eastAsia="zh-CN"/>
        </w:rPr>
        <w:t>，</w:t>
      </w:r>
      <w:r>
        <w:rPr>
          <w:rFonts w:hint="eastAsia" w:ascii="宋体" w:hAnsi="宋体" w:cs="宋体"/>
          <w:b w:val="0"/>
          <w:bCs w:val="0"/>
          <w:color w:val="auto"/>
          <w:sz w:val="24"/>
          <w:szCs w:val="24"/>
          <w:u w:val="none" w:color="auto"/>
          <w:lang w:val="en-US" w:eastAsia="zh-CN"/>
        </w:rPr>
        <w:t xml:space="preserve"> 月均运量约500吨，整车运输，长期业务。</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13</w:t>
      </w:r>
      <w:r>
        <w:rPr>
          <w:rFonts w:ascii="宋体" w:hAnsi="宋体"/>
          <w:b w:val="0"/>
          <w:bCs/>
          <w:color w:val="auto"/>
        </w:rPr>
        <w:t>日</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7</w:t>
      </w:r>
      <w:r>
        <w:rPr>
          <w:rFonts w:ascii="宋体" w:hAnsi="宋体"/>
          <w:b w:val="0"/>
          <w:bCs/>
          <w:color w:val="auto"/>
        </w:rPr>
        <w:t>月</w:t>
      </w:r>
      <w:r>
        <w:rPr>
          <w:rFonts w:hint="eastAsia" w:ascii="宋体" w:hAnsi="宋体"/>
          <w:b w:val="0"/>
          <w:bCs/>
          <w:color w:val="auto"/>
          <w:u w:val="single"/>
          <w:lang w:val="en-US" w:eastAsia="zh-CN"/>
        </w:rPr>
        <w:t xml:space="preserve"> 16</w:t>
      </w:r>
      <w:r>
        <w:rPr>
          <w:rFonts w:ascii="宋体" w:hAnsi="宋体"/>
          <w:b w:val="0"/>
          <w:bCs/>
          <w:color w:val="auto"/>
        </w:rPr>
        <w:t>日</w:t>
      </w:r>
      <w:r>
        <w:rPr>
          <w:rFonts w:hint="eastAsia" w:ascii="宋体" w:hAnsi="宋体"/>
          <w:b w:val="0"/>
          <w:bCs/>
          <w:color w:val="auto"/>
          <w:u w:val="single"/>
          <w:lang w:val="en-US" w:eastAsia="zh-CN"/>
        </w:rPr>
        <w:t>上午9:30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叁仟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7</w:t>
      </w:r>
      <w:r>
        <w:rPr>
          <w:rFonts w:hint="eastAsia" w:ascii="宋体" w:hAnsi="宋体"/>
          <w:bCs/>
          <w:color w:val="7030A0"/>
        </w:rPr>
        <w:t>月</w:t>
      </w:r>
      <w:r>
        <w:rPr>
          <w:rFonts w:hint="eastAsia" w:ascii="宋体" w:hAnsi="宋体"/>
          <w:bCs/>
          <w:color w:val="7030A0"/>
          <w:u w:val="single"/>
          <w:lang w:val="en-US" w:eastAsia="zh-CN"/>
        </w:rPr>
        <w:t>13</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8"/>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8"/>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spacing w:line="240" w:lineRule="auto"/>
        <w:ind w:left="240" w:leftChars="10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1、投标须持有合法有效的相关危险化学品运输资质法人单位,提供的车辆及从业人员必须具备合法有效相关危化品运输从业资质，能够满足招标方需求</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2、中标方应当严格遵守《安全生产法》，不得违反货物交接区域内招标方相关安全操作规程，中标方应按照国家规定为其从业人员配备必要的劳动防护用品，进行危化品运输业务相关的安全培训和教育。需为所属从业人员购买工伤保险（意外伤害保险），且每人保额要超过60万元，投保记录复印件交招标方留档。</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3、中标方需接受招标方根据生产和经营的需要，在合同有效期内运输量增减调整，不得以此要求变更合同价格。</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4、投标方按报价表要求报价。中标方需为招标方托运货物办理货物运输保险，并负责处理保险理赔事宜。</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5、投标方按报价表要求报价。根据招标方过磅码单货物实际净重量，乘以所到达目的地每吨单价计算运费。以月为结算期，次月10日前双方核准上月运费金额后，中标方应于15日前出具有效增值税专用全额发票（否则付款条件当然不成就），一票结算，收到发票后次月电汇付款。结算同时，中标方方需提供车辆过磅磅单（收货签收凭证）。</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6、中标方需缴纳贰万元履约保证金。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ind w:firstLine="420" w:firstLineChars="0"/>
        <w:rPr>
          <w:rFonts w:hint="eastAsia" w:ascii="宋体" w:hAnsi="宋体"/>
          <w:b w:val="0"/>
          <w:bCs w:val="0"/>
          <w:color w:val="auto"/>
          <w:sz w:val="24"/>
          <w:szCs w:val="24"/>
          <w:u w:val="none" w:color="auto"/>
          <w:lang w:val="en-US" w:eastAsia="zh-CN"/>
        </w:rPr>
      </w:pPr>
      <w:r>
        <w:rPr>
          <w:rFonts w:hint="eastAsia" w:ascii="宋体" w:hAnsi="宋体"/>
          <w:b w:val="0"/>
          <w:bCs w:val="0"/>
          <w:color w:val="auto"/>
          <w:sz w:val="24"/>
          <w:szCs w:val="24"/>
          <w:u w:val="none" w:color="auto"/>
          <w:lang w:val="en-US" w:eastAsia="zh-CN"/>
        </w:rPr>
        <w:t>7、合同期限一年：自2020年7月29日起至2021年7月28日止。</w:t>
      </w:r>
    </w:p>
    <w:p>
      <w:pPr>
        <w:spacing w:line="240" w:lineRule="auto"/>
        <w:ind w:firstLine="420" w:firstLineChars="0"/>
        <w:rPr>
          <w:rFonts w:hint="eastAsia" w:ascii="宋体" w:hAnsi="宋体"/>
          <w:b w:val="0"/>
          <w:bCs w:val="0"/>
          <w:color w:val="auto"/>
          <w:sz w:val="24"/>
          <w:szCs w:val="24"/>
          <w:u w:val="none" w:color="auto"/>
          <w:lang w:val="en-US" w:eastAsia="zh-CN"/>
        </w:rPr>
      </w:pPr>
    </w:p>
    <w:p>
      <w:pPr>
        <w:spacing w:line="240" w:lineRule="auto"/>
        <w:rPr>
          <w:rFonts w:hint="eastAsia" w:eastAsia="宋体"/>
          <w:b/>
          <w:color w:val="auto"/>
          <w:sz w:val="24"/>
          <w:szCs w:val="24"/>
          <w:lang w:val="en-US" w:eastAsia="zh-CN"/>
        </w:rPr>
      </w:pPr>
      <w:r>
        <w:rPr>
          <w:rFonts w:hint="eastAsia"/>
          <w:b/>
          <w:color w:val="auto"/>
          <w:sz w:val="24"/>
          <w:szCs w:val="24"/>
        </w:rPr>
        <w:t>十</w:t>
      </w:r>
      <w:r>
        <w:rPr>
          <w:rFonts w:hint="eastAsia"/>
          <w:b/>
          <w:color w:val="auto"/>
          <w:sz w:val="24"/>
          <w:szCs w:val="24"/>
          <w:lang w:val="en-US" w:eastAsia="zh-CN"/>
        </w:rPr>
        <w:t>五</w:t>
      </w:r>
      <w:r>
        <w:rPr>
          <w:rFonts w:hint="eastAsia"/>
          <w:b/>
          <w:color w:val="auto"/>
          <w:sz w:val="24"/>
          <w:szCs w:val="24"/>
        </w:rPr>
        <w:t>、</w:t>
      </w:r>
      <w:r>
        <w:rPr>
          <w:rFonts w:hint="eastAsia"/>
          <w:b/>
          <w:color w:val="auto"/>
          <w:sz w:val="24"/>
          <w:szCs w:val="24"/>
          <w:lang w:val="en-US" w:eastAsia="zh-CN"/>
        </w:rPr>
        <w:t>报价单</w:t>
      </w:r>
    </w:p>
    <w:p>
      <w:pPr>
        <w:keepNext w:val="0"/>
        <w:keepLines w:val="0"/>
        <w:pageBreakBefore w:val="0"/>
        <w:kinsoku/>
        <w:wordWrap/>
        <w:overflowPunct/>
        <w:topLinePunct w:val="0"/>
        <w:autoSpaceDE/>
        <w:bidi w:val="0"/>
        <w:snapToGrid/>
        <w:spacing w:line="360" w:lineRule="auto"/>
        <w:jc w:val="center"/>
        <w:rPr>
          <w:rFonts w:hint="eastAsia" w:ascii="宋体" w:hAnsi="宋体"/>
          <w:b/>
          <w:bCs w:val="0"/>
          <w:sz w:val="30"/>
          <w:szCs w:val="30"/>
          <w:lang w:eastAsia="zh-CN"/>
        </w:rPr>
      </w:pPr>
      <w:r>
        <w:rPr>
          <w:rFonts w:hint="eastAsia" w:ascii="宋体" w:hAnsi="宋体"/>
          <w:b/>
          <w:bCs w:val="0"/>
          <w:sz w:val="30"/>
          <w:szCs w:val="30"/>
          <w:lang w:eastAsia="zh-CN"/>
        </w:rPr>
        <w:t>危化品运输招标报价表（</w:t>
      </w:r>
      <w:r>
        <w:rPr>
          <w:rFonts w:hint="eastAsia" w:ascii="宋体" w:hAnsi="宋体"/>
          <w:b/>
          <w:bCs w:val="0"/>
          <w:sz w:val="24"/>
          <w:szCs w:val="24"/>
          <w:lang w:eastAsia="zh-CN"/>
        </w:rPr>
        <w:t>标段一</w:t>
      </w:r>
      <w:r>
        <w:rPr>
          <w:rFonts w:hint="eastAsia" w:ascii="宋体" w:hAnsi="宋体"/>
          <w:b/>
          <w:bCs w:val="0"/>
          <w:sz w:val="30"/>
          <w:szCs w:val="30"/>
          <w:lang w:eastAsia="zh-CN"/>
        </w:rPr>
        <w:t>）</w:t>
      </w:r>
    </w:p>
    <w:tbl>
      <w:tblPr>
        <w:tblStyle w:val="6"/>
        <w:tblW w:w="10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470"/>
        <w:gridCol w:w="1481"/>
        <w:gridCol w:w="1574"/>
        <w:gridCol w:w="1491"/>
        <w:gridCol w:w="181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60" w:hRule="atLeast"/>
        </w:trPr>
        <w:tc>
          <w:tcPr>
            <w:tcW w:w="2470"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eastAsia="宋体"/>
                <w:b/>
                <w:sz w:val="24"/>
                <w:szCs w:val="24"/>
                <w:lang w:eastAsia="zh-CN"/>
              </w:rPr>
              <w:t>运输线路</w:t>
            </w:r>
          </w:p>
        </w:tc>
        <w:tc>
          <w:tcPr>
            <w:tcW w:w="1481"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b/>
                <w:sz w:val="24"/>
                <w:szCs w:val="24"/>
                <w:lang w:eastAsia="zh-CN"/>
              </w:rPr>
              <w:t>货物名称</w:t>
            </w:r>
          </w:p>
        </w:tc>
        <w:tc>
          <w:tcPr>
            <w:tcW w:w="1574"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运输车型</w:t>
            </w:r>
          </w:p>
        </w:tc>
        <w:tc>
          <w:tcPr>
            <w:tcW w:w="1491"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p>
          <w:p>
            <w:pPr>
              <w:jc w:val="center"/>
              <w:rPr>
                <w:rFonts w:hint="eastAsia"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月均运量</w:t>
            </w:r>
          </w:p>
          <w:p>
            <w:pPr>
              <w:jc w:val="center"/>
              <w:rPr>
                <w:rFonts w:hint="default" w:ascii="宋体" w:hAnsi="宋体" w:eastAsia="宋体"/>
                <w:b/>
                <w:bCs w:val="0"/>
                <w:i w:val="0"/>
                <w:snapToGrid/>
                <w:color w:val="000000"/>
                <w:sz w:val="24"/>
                <w:szCs w:val="24"/>
                <w:u w:val="none"/>
                <w:lang w:eastAsia="zh-CN"/>
              </w:rPr>
            </w:pPr>
          </w:p>
        </w:tc>
        <w:tc>
          <w:tcPr>
            <w:tcW w:w="1811"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报</w:t>
            </w:r>
            <w:r>
              <w:rPr>
                <w:rFonts w:hint="eastAsia" w:ascii="宋体" w:hAnsi="宋体" w:eastAsia="宋体"/>
                <w:b/>
                <w:bCs w:val="0"/>
                <w:i w:val="0"/>
                <w:snapToGrid/>
                <w:color w:val="000000"/>
                <w:sz w:val="24"/>
                <w:szCs w:val="24"/>
                <w:u w:val="none"/>
                <w:lang w:val="en-US" w:eastAsia="zh-CN"/>
              </w:rPr>
              <w:t xml:space="preserve"> </w:t>
            </w:r>
            <w:r>
              <w:rPr>
                <w:rFonts w:hint="eastAsia" w:ascii="宋体" w:hAnsi="宋体" w:eastAsia="宋体"/>
                <w:b/>
                <w:bCs w:val="0"/>
                <w:i w:val="0"/>
                <w:snapToGrid/>
                <w:color w:val="000000"/>
                <w:sz w:val="24"/>
                <w:szCs w:val="24"/>
                <w:u w:val="none"/>
                <w:lang w:eastAsia="zh-CN"/>
              </w:rPr>
              <w:t>价</w:t>
            </w:r>
          </w:p>
        </w:tc>
        <w:tc>
          <w:tcPr>
            <w:tcW w:w="1420"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运</w:t>
            </w:r>
            <w:r>
              <w:rPr>
                <w:rFonts w:hint="eastAsia" w:ascii="宋体" w:hAnsi="宋体" w:eastAsia="宋体"/>
                <w:b/>
                <w:bCs w:val="0"/>
                <w:i w:val="0"/>
                <w:snapToGrid/>
                <w:color w:val="000000"/>
                <w:sz w:val="24"/>
                <w:szCs w:val="24"/>
                <w:u w:val="none"/>
                <w:lang w:val="en-US" w:eastAsia="zh-CN"/>
              </w:rPr>
              <w:t xml:space="preserve"> </w:t>
            </w:r>
            <w:r>
              <w:rPr>
                <w:rFonts w:hint="eastAsia" w:ascii="宋体" w:hAnsi="宋体" w:eastAsia="宋体"/>
                <w:b/>
                <w:bCs w:val="0"/>
                <w:i w:val="0"/>
                <w:snapToGrid/>
                <w:color w:val="000000"/>
                <w:sz w:val="24"/>
                <w:szCs w:val="24"/>
                <w:u w:val="none"/>
                <w:lang w:eastAsia="zh-CN"/>
              </w:rPr>
              <w:t>费</w:t>
            </w:r>
          </w:p>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1"/>
                <w:szCs w:val="21"/>
                <w:u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6" w:hRule="atLeast"/>
        </w:trPr>
        <w:tc>
          <w:tcPr>
            <w:tcW w:w="247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eastAsia="宋体"/>
                <w:b/>
                <w:bCs w:val="0"/>
                <w:i w:val="0"/>
                <w:snapToGrid/>
                <w:color w:val="000000"/>
                <w:sz w:val="24"/>
                <w:szCs w:val="24"/>
                <w:u w:val="none"/>
                <w:lang w:eastAsia="zh-CN"/>
              </w:rPr>
            </w:pP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芜湖融汇化工有限公司</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eastAsia="zh-CN"/>
              </w:rPr>
              <w:t>—芜湖新兴库房</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val="en-US" w:eastAsia="zh-CN"/>
              </w:rPr>
            </w:pPr>
          </w:p>
        </w:tc>
        <w:tc>
          <w:tcPr>
            <w:tcW w:w="1481"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val="en-US" w:eastAsia="zh-CN"/>
              </w:rPr>
              <w:t>盐 酸</w:t>
            </w:r>
          </w:p>
        </w:tc>
        <w:tc>
          <w:tcPr>
            <w:tcW w:w="1574" w:type="dxa"/>
            <w:vMerge w:val="restart"/>
            <w:tcBorders>
              <w:tl2br w:val="nil"/>
              <w:tr2bl w:val="nil"/>
            </w:tcBorders>
            <w:noWrap w:val="0"/>
            <w:vAlign w:val="center"/>
          </w:tcPr>
          <w:p>
            <w:pPr>
              <w:jc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val="en-US" w:eastAsia="zh-CN"/>
              </w:rPr>
              <w:t>危化品运输专用槽罐车</w:t>
            </w:r>
          </w:p>
        </w:tc>
        <w:tc>
          <w:tcPr>
            <w:tcW w:w="1491"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val="en-US" w:eastAsia="zh-CN"/>
              </w:rPr>
              <w:t>3</w:t>
            </w:r>
          </w:p>
          <w:p>
            <w:pPr>
              <w:jc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1"/>
                <w:szCs w:val="21"/>
                <w:u w:val="none"/>
                <w:lang w:val="en-US" w:eastAsia="zh-CN"/>
              </w:rPr>
              <w:t>（车）</w:t>
            </w:r>
          </w:p>
        </w:tc>
        <w:tc>
          <w:tcPr>
            <w:tcW w:w="1811" w:type="dxa"/>
            <w:tcBorders>
              <w:tl2br w:val="nil"/>
              <w:tr2bl w:val="nil"/>
            </w:tcBorders>
            <w:noWrap w:val="0"/>
            <w:vAlign w:val="center"/>
          </w:tcPr>
          <w:p>
            <w:pPr>
              <w:jc w:val="right"/>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1"/>
                <w:szCs w:val="21"/>
                <w:u w:val="none"/>
                <w:lang w:eastAsia="zh-CN"/>
              </w:rPr>
              <w:t>（元</w:t>
            </w:r>
            <w:r>
              <w:rPr>
                <w:rFonts w:hint="eastAsia" w:ascii="宋体" w:hAnsi="宋体" w:eastAsia="宋体"/>
                <w:b/>
                <w:bCs w:val="0"/>
                <w:i w:val="0"/>
                <w:snapToGrid/>
                <w:color w:val="000000"/>
                <w:sz w:val="21"/>
                <w:szCs w:val="21"/>
                <w:u w:val="none"/>
                <w:lang w:val="en-US" w:eastAsia="zh-CN"/>
              </w:rPr>
              <w:t>/车</w:t>
            </w:r>
            <w:r>
              <w:rPr>
                <w:rFonts w:hint="eastAsia" w:ascii="宋体" w:hAnsi="宋体" w:eastAsia="宋体"/>
                <w:b/>
                <w:bCs w:val="0"/>
                <w:i w:val="0"/>
                <w:snapToGrid/>
                <w:color w:val="000000"/>
                <w:sz w:val="21"/>
                <w:szCs w:val="21"/>
                <w:u w:val="none"/>
                <w:lang w:eastAsia="zh-CN"/>
              </w:rPr>
              <w:t>）</w:t>
            </w:r>
          </w:p>
        </w:tc>
        <w:tc>
          <w:tcPr>
            <w:tcW w:w="1420"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03" w:hRule="atLeast"/>
        </w:trPr>
        <w:tc>
          <w:tcPr>
            <w:tcW w:w="247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p>
        </w:tc>
        <w:tc>
          <w:tcPr>
            <w:tcW w:w="148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b/>
                <w:bCs w:val="0"/>
                <w:i w:val="0"/>
                <w:snapToGrid/>
                <w:color w:val="000000"/>
                <w:sz w:val="24"/>
                <w:szCs w:val="24"/>
                <w:u w:val="none"/>
                <w:lang w:eastAsia="zh-CN"/>
              </w:rPr>
            </w:pPr>
            <w:r>
              <w:rPr>
                <w:rFonts w:hint="eastAsia" w:ascii="宋体" w:hAnsi="宋体" w:eastAsia="宋体" w:cs="宋体"/>
                <w:b/>
                <w:bCs/>
                <w:i w:val="0"/>
                <w:color w:val="000000"/>
                <w:kern w:val="0"/>
                <w:sz w:val="24"/>
                <w:szCs w:val="24"/>
                <w:u w:val="none"/>
                <w:lang w:val="en-US" w:eastAsia="zh-CN" w:bidi="ar"/>
              </w:rPr>
              <w:t>液 碱</w:t>
            </w:r>
          </w:p>
        </w:tc>
        <w:tc>
          <w:tcPr>
            <w:tcW w:w="157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p>
        </w:tc>
        <w:tc>
          <w:tcPr>
            <w:tcW w:w="1491"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val="en-US" w:eastAsia="zh-CN"/>
              </w:rPr>
              <w:t>250</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1"/>
                <w:szCs w:val="21"/>
                <w:u w:val="none"/>
                <w:lang w:eastAsia="zh-CN"/>
              </w:rPr>
              <w:t>（吨）</w:t>
            </w:r>
          </w:p>
        </w:tc>
        <w:tc>
          <w:tcPr>
            <w:tcW w:w="1811"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right"/>
              <w:textAlignment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1"/>
                <w:szCs w:val="21"/>
                <w:u w:val="none"/>
                <w:lang w:eastAsia="zh-CN"/>
              </w:rPr>
              <w:t>（元</w:t>
            </w:r>
            <w:r>
              <w:rPr>
                <w:rFonts w:hint="eastAsia" w:ascii="宋体" w:hAnsi="宋体" w:eastAsia="宋体"/>
                <w:b/>
                <w:bCs w:val="0"/>
                <w:i w:val="0"/>
                <w:snapToGrid/>
                <w:color w:val="000000"/>
                <w:sz w:val="21"/>
                <w:szCs w:val="21"/>
                <w:u w:val="none"/>
                <w:lang w:val="en-US" w:eastAsia="zh-CN"/>
              </w:rPr>
              <w:t>/吨</w:t>
            </w:r>
            <w:r>
              <w:rPr>
                <w:rFonts w:hint="eastAsia" w:ascii="宋体" w:hAnsi="宋体" w:eastAsia="宋体"/>
                <w:b/>
                <w:bCs w:val="0"/>
                <w:i w:val="0"/>
                <w:snapToGrid/>
                <w:color w:val="000000"/>
                <w:sz w:val="21"/>
                <w:szCs w:val="21"/>
                <w:u w:val="none"/>
                <w:lang w:eastAsia="zh-CN"/>
              </w:rPr>
              <w:t>）</w:t>
            </w:r>
          </w:p>
        </w:tc>
        <w:tc>
          <w:tcPr>
            <w:tcW w:w="142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11" w:hRule="atLeast"/>
        </w:trPr>
        <w:tc>
          <w:tcPr>
            <w:tcW w:w="8827" w:type="dxa"/>
            <w:gridSpan w:val="5"/>
            <w:tcBorders>
              <w:tl2br w:val="nil"/>
              <w:tr2bl w:val="nil"/>
            </w:tcBorders>
            <w:noWrap w:val="0"/>
            <w:vAlign w:val="center"/>
          </w:tcPr>
          <w:p>
            <w:pPr>
              <w:numPr>
                <w:ilvl w:val="0"/>
                <w:numId w:val="0"/>
              </w:numPr>
              <w:ind w:leftChars="0"/>
              <w:jc w:val="center"/>
              <w:rPr>
                <w:rFonts w:hint="eastAsia" w:ascii="宋体" w:hAnsi="宋体" w:eastAsia="宋体"/>
                <w:b/>
                <w:bCs w:val="0"/>
                <w:i w:val="0"/>
                <w:snapToGrid/>
                <w:color w:val="000000"/>
                <w:sz w:val="24"/>
                <w:szCs w:val="24"/>
                <w:u w:val="none"/>
                <w:lang w:val="en-US" w:eastAsia="zh-CN"/>
              </w:rPr>
            </w:pPr>
          </w:p>
          <w:p>
            <w:pPr>
              <w:numPr>
                <w:ilvl w:val="0"/>
                <w:numId w:val="0"/>
              </w:numPr>
              <w:ind w:leftChars="0"/>
              <w:jc w:val="center"/>
              <w:rPr>
                <w:rFonts w:hint="eastAsia" w:ascii="宋体" w:hAnsi="宋体" w:eastAsia="宋体"/>
                <w:b/>
                <w:bCs w:val="0"/>
                <w:i w:val="0"/>
                <w:snapToGrid/>
                <w:color w:val="000000"/>
                <w:sz w:val="21"/>
                <w:szCs w:val="21"/>
                <w:u w:val="none"/>
                <w:lang w:val="en-US" w:eastAsia="zh-CN"/>
              </w:rPr>
            </w:pPr>
            <w:r>
              <w:rPr>
                <w:rFonts w:hint="eastAsia" w:ascii="宋体" w:hAnsi="宋体" w:eastAsia="宋体"/>
                <w:b/>
                <w:bCs w:val="0"/>
                <w:i w:val="0"/>
                <w:snapToGrid/>
                <w:color w:val="000000"/>
                <w:sz w:val="24"/>
                <w:szCs w:val="24"/>
                <w:u w:val="none"/>
                <w:lang w:val="en-US" w:eastAsia="zh-CN"/>
              </w:rPr>
              <w:t>合计运费</w:t>
            </w:r>
            <w:r>
              <w:rPr>
                <w:rFonts w:hint="eastAsia" w:ascii="宋体" w:hAnsi="宋体" w:eastAsia="宋体"/>
                <w:b/>
                <w:bCs w:val="0"/>
                <w:i w:val="0"/>
                <w:snapToGrid/>
                <w:color w:val="000000"/>
                <w:sz w:val="21"/>
                <w:szCs w:val="21"/>
                <w:u w:val="none"/>
                <w:lang w:val="en-US" w:eastAsia="zh-CN"/>
              </w:rPr>
              <w:t>（元）</w:t>
            </w:r>
          </w:p>
          <w:p>
            <w:pPr>
              <w:jc w:val="right"/>
              <w:rPr>
                <w:rFonts w:hint="eastAsia" w:ascii="宋体" w:hAnsi="宋体" w:eastAsia="宋体"/>
                <w:b/>
                <w:bCs w:val="0"/>
                <w:i w:val="0"/>
                <w:snapToGrid/>
                <w:color w:val="000000"/>
                <w:sz w:val="24"/>
                <w:szCs w:val="24"/>
                <w:u w:val="none"/>
                <w:lang w:eastAsia="zh-CN"/>
              </w:rPr>
            </w:pPr>
          </w:p>
        </w:tc>
        <w:tc>
          <w:tcPr>
            <w:tcW w:w="1420" w:type="dxa"/>
            <w:tcBorders>
              <w:tl2br w:val="nil"/>
              <w:tr2bl w:val="nil"/>
            </w:tcBorders>
            <w:noWrap w:val="0"/>
            <w:vAlign w:val="center"/>
          </w:tcPr>
          <w:p>
            <w:pPr>
              <w:jc w:val="right"/>
              <w:rPr>
                <w:rFonts w:hint="eastAsia" w:ascii="宋体" w:hAnsi="宋体" w:eastAsia="宋体"/>
                <w:b/>
                <w:bCs w:val="0"/>
                <w:i w:val="0"/>
                <w:snapToGrid/>
                <w:color w:val="000000"/>
                <w:sz w:val="24"/>
                <w:szCs w:val="24"/>
                <w:u w:val="none"/>
                <w:lang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outlineLvl w:val="9"/>
        <w:rPr>
          <w:rFonts w:hint="eastAsia" w:ascii="宋体" w:hAnsi="宋体"/>
          <w:b w:val="0"/>
          <w:bCs/>
          <w:sz w:val="24"/>
          <w:szCs w:val="24"/>
          <w:lang w:val="en-US" w:eastAsia="zh-CN"/>
        </w:rPr>
      </w:pPr>
      <w:r>
        <w:rPr>
          <w:rFonts w:hint="eastAsia" w:ascii="宋体" w:hAnsi="宋体"/>
          <w:b w:val="0"/>
          <w:bCs/>
          <w:sz w:val="24"/>
          <w:szCs w:val="24"/>
          <w:lang w:val="en-US" w:eastAsia="zh-CN"/>
        </w:rPr>
        <w:t>备注：1、投标报价含税（税率 9%）、货物保险费、杂费等各项费用。</w:t>
      </w:r>
    </w:p>
    <w:p>
      <w:pPr>
        <w:keepNext w:val="0"/>
        <w:keepLines w:val="0"/>
        <w:pageBreakBefore w:val="0"/>
        <w:widowControl w:val="0"/>
        <w:kinsoku/>
        <w:wordWrap/>
        <w:overflowPunct/>
        <w:topLinePunct w:val="0"/>
        <w:autoSpaceDE/>
        <w:autoSpaceDN/>
        <w:bidi w:val="0"/>
        <w:adjustRightInd w:val="0"/>
        <w:snapToGrid/>
        <w:spacing w:line="360" w:lineRule="auto"/>
        <w:ind w:left="1301" w:leftChars="342" w:right="0" w:rightChars="0" w:hanging="480" w:hangingChars="200"/>
        <w:jc w:val="left"/>
        <w:textAlignment w:val="auto"/>
        <w:outlineLvl w:val="9"/>
        <w:rPr>
          <w:rFonts w:hint="eastAsia" w:ascii="宋体" w:hAnsi="宋体"/>
          <w:b w:val="0"/>
          <w:bCs/>
          <w:sz w:val="24"/>
          <w:szCs w:val="24"/>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w:t>
      </w:r>
      <w:r>
        <w:rPr>
          <w:rFonts w:hint="eastAsia" w:ascii="宋体" w:hAnsi="宋体"/>
          <w:b w:val="0"/>
          <w:bCs/>
          <w:sz w:val="24"/>
          <w:szCs w:val="24"/>
          <w:lang w:val="en-US" w:eastAsia="zh-CN"/>
        </w:rPr>
        <w:t>运输盐酸槽罐车装载吨位根据招标方实际需要安排，单次运输最大装载吨位需能满足25吨。</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1680" w:firstLineChars="700"/>
        <w:jc w:val="left"/>
        <w:textAlignment w:val="auto"/>
        <w:outlineLvl w:val="9"/>
        <w:rPr>
          <w:rFonts w:hint="eastAsia" w:ascii="宋体" w:hAnsi="宋体"/>
          <w:b w:val="0"/>
          <w:bCs/>
          <w:sz w:val="24"/>
          <w:szCs w:val="24"/>
          <w:lang w:val="en-US" w:eastAsia="zh-CN"/>
        </w:rPr>
      </w:pPr>
      <w:r>
        <w:rPr>
          <w:rFonts w:hint="eastAsia" w:ascii="宋体" w:hAnsi="宋体"/>
          <w:b w:val="0"/>
          <w:bCs/>
          <w:sz w:val="24"/>
          <w:szCs w:val="24"/>
          <w:lang w:val="en-US" w:eastAsia="zh-CN"/>
        </w:rPr>
        <w:t>3、以上提供运量均为预估量，具体以实际发生为准。</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1" w:firstLineChars="100"/>
        <w:jc w:val="left"/>
        <w:textAlignment w:val="auto"/>
        <w:outlineLvl w:val="9"/>
        <w:rPr>
          <w:rFonts w:hint="eastAsia" w:ascii="宋体" w:hAnsi="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1" w:firstLineChars="100"/>
        <w:jc w:val="center"/>
        <w:textAlignment w:val="auto"/>
        <w:outlineLvl w:val="9"/>
        <w:rPr>
          <w:rFonts w:hint="eastAsia" w:ascii="宋体" w:hAnsi="宋体"/>
          <w:b/>
          <w:bCs w:val="0"/>
          <w:sz w:val="24"/>
          <w:szCs w:val="24"/>
          <w:lang w:val="en-US" w:eastAsia="zh-CN"/>
        </w:rPr>
      </w:pPr>
      <w:r>
        <w:rPr>
          <w:rFonts w:hint="eastAsia" w:ascii="宋体" w:hAnsi="宋体"/>
          <w:b/>
          <w:bCs w:val="0"/>
          <w:sz w:val="24"/>
          <w:szCs w:val="24"/>
          <w:lang w:val="en-US" w:eastAsia="zh-CN"/>
        </w:rPr>
        <w:t>请慎重报价！</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0" w:firstLineChars="100"/>
        <w:jc w:val="center"/>
        <w:textAlignment w:val="auto"/>
        <w:outlineLvl w:val="9"/>
        <w:rPr>
          <w:rFonts w:hint="eastAsia" w:ascii="宋体" w:hAnsi="宋体"/>
          <w:b w:val="0"/>
          <w:bCs/>
          <w:sz w:val="24"/>
          <w:szCs w:val="24"/>
          <w:lang w:val="en-US" w:eastAsia="zh-CN"/>
        </w:rPr>
      </w:pPr>
    </w:p>
    <w:p>
      <w:pPr>
        <w:jc w:val="center"/>
        <w:rPr>
          <w:rFonts w:hint="eastAsia"/>
          <w:b/>
          <w:bCs/>
          <w:sz w:val="24"/>
          <w:szCs w:val="24"/>
          <w:lang w:val="en-US" w:eastAsia="zh-CN"/>
        </w:rPr>
      </w:pPr>
      <w:r>
        <w:rPr>
          <w:rFonts w:hint="eastAsia" w:ascii="宋体" w:hAnsi="宋体"/>
          <w:b w:val="0"/>
          <w:bCs/>
          <w:sz w:val="24"/>
          <w:szCs w:val="24"/>
          <w:lang w:val="en-US" w:eastAsia="zh-CN"/>
        </w:rPr>
        <w:t xml:space="preserve">                  </w:t>
      </w:r>
    </w:p>
    <w:p>
      <w:pPr>
        <w:jc w:val="center"/>
        <w:rPr>
          <w:rFonts w:hint="default" w:eastAsia="宋体"/>
          <w:b/>
          <w:bCs/>
          <w:sz w:val="24"/>
          <w:szCs w:val="24"/>
          <w:u w:val="single"/>
          <w:lang w:val="en-US" w:eastAsia="zh-CN"/>
        </w:rPr>
      </w:pPr>
      <w:r>
        <w:rPr>
          <w:rFonts w:hint="eastAsia"/>
          <w:b/>
          <w:bCs/>
          <w:sz w:val="24"/>
          <w:szCs w:val="24"/>
          <w:lang w:val="en-US" w:eastAsia="zh-CN"/>
        </w:rPr>
        <w:t xml:space="preserve"> </w:t>
      </w:r>
      <w:r>
        <w:rPr>
          <w:rFonts w:hint="eastAsia"/>
          <w:b/>
          <w:bCs/>
          <w:sz w:val="24"/>
          <w:szCs w:val="24"/>
        </w:rPr>
        <w:t>报价单位（加盖公章）：</w:t>
      </w:r>
      <w:r>
        <w:rPr>
          <w:rFonts w:hint="eastAsia"/>
          <w:b/>
          <w:bCs/>
          <w:sz w:val="24"/>
          <w:szCs w:val="24"/>
          <w:u w:val="single"/>
          <w:lang w:val="en-US" w:eastAsia="zh-CN"/>
        </w:rPr>
        <w:t xml:space="preserve">                           </w:t>
      </w:r>
    </w:p>
    <w:p>
      <w:pPr>
        <w:ind w:firstLine="1687" w:firstLineChars="700"/>
        <w:jc w:val="both"/>
        <w:rPr>
          <w:rFonts w:hint="eastAsia"/>
          <w:b/>
          <w:bCs/>
          <w:sz w:val="24"/>
          <w:szCs w:val="24"/>
        </w:rPr>
      </w:pPr>
    </w:p>
    <w:p>
      <w:pPr>
        <w:ind w:firstLine="3614" w:firstLineChars="1500"/>
        <w:jc w:val="both"/>
        <w:rPr>
          <w:rFonts w:hint="default" w:eastAsia="宋体"/>
          <w:b/>
          <w:bCs/>
          <w:sz w:val="24"/>
          <w:szCs w:val="24"/>
          <w:u w:val="single"/>
          <w:lang w:val="en-US" w:eastAsia="zh-CN"/>
        </w:rPr>
      </w:pPr>
      <w:r>
        <w:rPr>
          <w:rFonts w:hint="eastAsia"/>
          <w:b/>
          <w:bCs/>
          <w:sz w:val="24"/>
          <w:szCs w:val="24"/>
        </w:rPr>
        <w:t>法人</w:t>
      </w:r>
      <w:r>
        <w:rPr>
          <w:rFonts w:hint="eastAsia"/>
          <w:b/>
          <w:bCs/>
          <w:sz w:val="24"/>
          <w:szCs w:val="24"/>
          <w:lang w:eastAsia="zh-CN"/>
        </w:rPr>
        <w:t>代表</w:t>
      </w:r>
      <w:r>
        <w:rPr>
          <w:rFonts w:hint="eastAsia"/>
          <w:b/>
          <w:bCs/>
          <w:sz w:val="24"/>
          <w:szCs w:val="24"/>
        </w:rPr>
        <w:t>或授权代理人（签字）：</w:t>
      </w:r>
      <w:r>
        <w:rPr>
          <w:rFonts w:hint="eastAsia"/>
          <w:b/>
          <w:bCs/>
          <w:sz w:val="24"/>
          <w:szCs w:val="24"/>
          <w:u w:val="single"/>
          <w:lang w:val="en-US" w:eastAsia="zh-CN"/>
        </w:rPr>
        <w:t xml:space="preserve">                        </w:t>
      </w:r>
    </w:p>
    <w:p>
      <w:pPr>
        <w:jc w:val="center"/>
        <w:rPr>
          <w:rFonts w:hint="eastAsia"/>
          <w:b/>
          <w:bCs/>
          <w:sz w:val="24"/>
          <w:szCs w:val="24"/>
          <w:lang w:val="en-US" w:eastAsia="zh-CN"/>
        </w:rPr>
      </w:pPr>
      <w:r>
        <w:rPr>
          <w:rFonts w:hint="eastAsia"/>
          <w:b/>
          <w:bCs/>
          <w:sz w:val="24"/>
          <w:szCs w:val="24"/>
          <w:lang w:val="en-US" w:eastAsia="zh-CN"/>
        </w:rPr>
        <w:t xml:space="preserve">          </w:t>
      </w:r>
    </w:p>
    <w:p>
      <w:pPr>
        <w:jc w:val="center"/>
        <w:rPr>
          <w:rFonts w:hint="eastAsia" w:ascii="宋体" w:hAnsi="宋体" w:eastAsia="宋体"/>
          <w:b/>
          <w:bCs/>
          <w:sz w:val="24"/>
          <w:szCs w:val="24"/>
          <w:lang w:val="en-US" w:eastAsia="zh-CN"/>
        </w:rPr>
      </w:pPr>
      <w:r>
        <w:rPr>
          <w:rFonts w:hint="eastAsia"/>
          <w:b/>
          <w:bCs/>
          <w:sz w:val="24"/>
          <w:szCs w:val="24"/>
          <w:lang w:val="en-US" w:eastAsia="zh-CN"/>
        </w:rPr>
        <w:t xml:space="preserve">            报价</w:t>
      </w:r>
      <w:r>
        <w:rPr>
          <w:rFonts w:hint="eastAsia"/>
          <w:b/>
          <w:bCs/>
          <w:sz w:val="24"/>
          <w:szCs w:val="24"/>
        </w:rPr>
        <w:t>日期：</w:t>
      </w:r>
      <w:r>
        <w:rPr>
          <w:rFonts w:hint="eastAsia"/>
          <w:b/>
          <w:bCs/>
          <w:sz w:val="24"/>
          <w:szCs w:val="24"/>
          <w:u w:val="single"/>
          <w:lang w:val="en-US" w:eastAsia="zh-CN"/>
        </w:rPr>
        <w:t xml:space="preserve">                       </w:t>
      </w:r>
    </w:p>
    <w:p>
      <w:pPr>
        <w:spacing w:line="240" w:lineRule="auto"/>
        <w:ind w:left="240" w:leftChars="100" w:firstLine="0" w:firstLineChars="0"/>
        <w:rPr>
          <w:rFonts w:hint="eastAsia" w:ascii="宋体" w:hAnsi="宋体"/>
          <w:b w:val="0"/>
          <w:bCs w:val="0"/>
          <w:color w:val="auto"/>
          <w:sz w:val="24"/>
          <w:szCs w:val="24"/>
          <w:u w:val="none" w:color="auto"/>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keepNext w:val="0"/>
        <w:keepLines w:val="0"/>
        <w:pageBreakBefore w:val="0"/>
        <w:kinsoku/>
        <w:wordWrap/>
        <w:overflowPunct/>
        <w:topLinePunct w:val="0"/>
        <w:autoSpaceDE/>
        <w:bidi w:val="0"/>
        <w:snapToGrid/>
        <w:spacing w:line="360" w:lineRule="auto"/>
        <w:jc w:val="center"/>
        <w:rPr>
          <w:rFonts w:hint="eastAsia" w:ascii="宋体" w:hAnsi="宋体"/>
          <w:b/>
          <w:bCs w:val="0"/>
          <w:sz w:val="30"/>
          <w:szCs w:val="30"/>
          <w:lang w:eastAsia="zh-CN"/>
        </w:rPr>
      </w:pPr>
      <w:r>
        <w:rPr>
          <w:rFonts w:hint="eastAsia" w:ascii="宋体" w:hAnsi="宋体"/>
          <w:b/>
          <w:bCs w:val="0"/>
          <w:sz w:val="30"/>
          <w:szCs w:val="30"/>
          <w:lang w:eastAsia="zh-CN"/>
        </w:rPr>
        <w:t>危化品运输招标报价表（</w:t>
      </w:r>
      <w:r>
        <w:rPr>
          <w:rFonts w:hint="eastAsia" w:ascii="宋体" w:hAnsi="宋体"/>
          <w:b/>
          <w:bCs w:val="0"/>
          <w:sz w:val="24"/>
          <w:szCs w:val="24"/>
          <w:lang w:eastAsia="zh-CN"/>
        </w:rPr>
        <w:t>标段二</w:t>
      </w:r>
      <w:r>
        <w:rPr>
          <w:rFonts w:hint="eastAsia" w:ascii="宋体" w:hAnsi="宋体"/>
          <w:b/>
          <w:bCs w:val="0"/>
          <w:sz w:val="30"/>
          <w:szCs w:val="30"/>
          <w:lang w:eastAsia="zh-CN"/>
        </w:rPr>
        <w:t>）</w:t>
      </w:r>
    </w:p>
    <w:p>
      <w:pPr>
        <w:keepNext w:val="0"/>
        <w:keepLines w:val="0"/>
        <w:pageBreakBefore w:val="0"/>
        <w:kinsoku/>
        <w:wordWrap/>
        <w:overflowPunct/>
        <w:topLinePunct w:val="0"/>
        <w:autoSpaceDE/>
        <w:bidi w:val="0"/>
        <w:snapToGrid/>
        <w:spacing w:line="360" w:lineRule="auto"/>
        <w:jc w:val="center"/>
        <w:rPr>
          <w:rFonts w:hint="eastAsia" w:ascii="宋体" w:hAnsi="宋体"/>
          <w:b/>
          <w:bCs w:val="0"/>
          <w:sz w:val="30"/>
          <w:szCs w:val="30"/>
          <w:lang w:eastAsia="zh-CN"/>
        </w:rPr>
      </w:pPr>
    </w:p>
    <w:tbl>
      <w:tblPr>
        <w:tblStyle w:val="6"/>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904"/>
        <w:gridCol w:w="1741"/>
        <w:gridCol w:w="1851"/>
        <w:gridCol w:w="175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39" w:hRule="atLeast"/>
        </w:trPr>
        <w:tc>
          <w:tcPr>
            <w:tcW w:w="2904"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eastAsia="宋体"/>
                <w:b/>
                <w:sz w:val="24"/>
                <w:szCs w:val="24"/>
                <w:lang w:eastAsia="zh-CN"/>
              </w:rPr>
              <w:t>运输线路</w:t>
            </w:r>
          </w:p>
        </w:tc>
        <w:tc>
          <w:tcPr>
            <w:tcW w:w="1741"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b/>
                <w:sz w:val="24"/>
                <w:szCs w:val="24"/>
                <w:lang w:eastAsia="zh-CN"/>
              </w:rPr>
              <w:t>货物名称</w:t>
            </w:r>
          </w:p>
        </w:tc>
        <w:tc>
          <w:tcPr>
            <w:tcW w:w="1851"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运输车型</w:t>
            </w:r>
          </w:p>
        </w:tc>
        <w:tc>
          <w:tcPr>
            <w:tcW w:w="1753"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p>
          <w:p>
            <w:pPr>
              <w:jc w:val="center"/>
              <w:rPr>
                <w:rFonts w:hint="eastAsia"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月均运量</w:t>
            </w:r>
          </w:p>
          <w:p>
            <w:pPr>
              <w:jc w:val="center"/>
              <w:rPr>
                <w:rFonts w:hint="eastAsia"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val="en-US" w:eastAsia="zh-CN"/>
              </w:rPr>
              <w:t>（吨）</w:t>
            </w:r>
          </w:p>
          <w:p>
            <w:pPr>
              <w:jc w:val="center"/>
              <w:rPr>
                <w:rFonts w:hint="default" w:ascii="宋体" w:hAnsi="宋体" w:eastAsia="宋体"/>
                <w:b/>
                <w:bCs w:val="0"/>
                <w:i w:val="0"/>
                <w:snapToGrid/>
                <w:color w:val="000000"/>
                <w:sz w:val="24"/>
                <w:szCs w:val="24"/>
                <w:u w:val="none"/>
                <w:lang w:eastAsia="zh-CN"/>
              </w:rPr>
            </w:pPr>
          </w:p>
        </w:tc>
        <w:tc>
          <w:tcPr>
            <w:tcW w:w="2129"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报</w:t>
            </w:r>
            <w:r>
              <w:rPr>
                <w:rFonts w:hint="eastAsia" w:ascii="宋体" w:hAnsi="宋体" w:eastAsia="宋体"/>
                <w:b/>
                <w:bCs w:val="0"/>
                <w:i w:val="0"/>
                <w:snapToGrid/>
                <w:color w:val="000000"/>
                <w:sz w:val="24"/>
                <w:szCs w:val="24"/>
                <w:u w:val="none"/>
                <w:lang w:val="en-US" w:eastAsia="zh-CN"/>
              </w:rPr>
              <w:t xml:space="preserve"> </w:t>
            </w:r>
            <w:r>
              <w:rPr>
                <w:rFonts w:hint="eastAsia" w:ascii="宋体" w:hAnsi="宋体" w:eastAsia="宋体"/>
                <w:b/>
                <w:bCs w:val="0"/>
                <w:i w:val="0"/>
                <w:snapToGrid/>
                <w:color w:val="000000"/>
                <w:sz w:val="24"/>
                <w:szCs w:val="24"/>
                <w:u w:val="none"/>
                <w:lang w:eastAsia="zh-CN"/>
              </w:rPr>
              <w:t>价</w:t>
            </w:r>
          </w:p>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1"/>
                <w:szCs w:val="21"/>
                <w:u w:val="none"/>
                <w:lang w:eastAsia="zh-CN"/>
              </w:rPr>
              <w:t>（元</w:t>
            </w:r>
            <w:r>
              <w:rPr>
                <w:rFonts w:hint="eastAsia" w:ascii="宋体" w:hAnsi="宋体" w:eastAsia="宋体"/>
                <w:b/>
                <w:bCs w:val="0"/>
                <w:i w:val="0"/>
                <w:snapToGrid/>
                <w:color w:val="000000"/>
                <w:sz w:val="21"/>
                <w:szCs w:val="21"/>
                <w:u w:val="none"/>
                <w:lang w:val="en-US" w:eastAsia="zh-CN"/>
              </w:rPr>
              <w:t>/</w:t>
            </w:r>
            <w:r>
              <w:rPr>
                <w:rFonts w:hint="eastAsia" w:ascii="宋体" w:hAnsi="宋体"/>
                <w:b/>
                <w:bCs w:val="0"/>
                <w:i w:val="0"/>
                <w:snapToGrid/>
                <w:color w:val="000000"/>
                <w:sz w:val="21"/>
                <w:szCs w:val="21"/>
                <w:u w:val="none"/>
                <w:lang w:val="en-US" w:eastAsia="zh-CN"/>
              </w:rPr>
              <w:t>吨</w:t>
            </w:r>
            <w:r>
              <w:rPr>
                <w:rFonts w:hint="eastAsia" w:ascii="宋体" w:hAnsi="宋体" w:eastAsia="宋体"/>
                <w:b/>
                <w:bCs w:val="0"/>
                <w:i w:val="0"/>
                <w:snapToGrid/>
                <w:color w:val="00000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712" w:hRule="atLeast"/>
        </w:trPr>
        <w:tc>
          <w:tcPr>
            <w:tcW w:w="290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eastAsia="宋体"/>
                <w:b/>
                <w:bCs w:val="0"/>
                <w:i w:val="0"/>
                <w:snapToGrid/>
                <w:color w:val="000000"/>
                <w:sz w:val="24"/>
                <w:szCs w:val="24"/>
                <w:u w:val="none"/>
                <w:lang w:eastAsia="zh-CN"/>
              </w:rPr>
            </w:pP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eastAsia="zh-CN"/>
              </w:rPr>
              <w:t>铜陵有色金属有限公司—芜湖新兴库房</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val="en-US" w:eastAsia="zh-CN"/>
              </w:rPr>
            </w:pPr>
          </w:p>
        </w:tc>
        <w:tc>
          <w:tcPr>
            <w:tcW w:w="1741"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硫</w:t>
            </w:r>
            <w:r>
              <w:rPr>
                <w:rFonts w:hint="eastAsia" w:ascii="宋体" w:hAnsi="宋体"/>
                <w:b/>
                <w:bCs w:val="0"/>
                <w:i w:val="0"/>
                <w:snapToGrid/>
                <w:color w:val="000000"/>
                <w:sz w:val="24"/>
                <w:szCs w:val="24"/>
                <w:u w:val="none"/>
                <w:lang w:val="en-US" w:eastAsia="zh-CN"/>
              </w:rPr>
              <w:t xml:space="preserve"> </w:t>
            </w:r>
            <w:r>
              <w:rPr>
                <w:rFonts w:hint="eastAsia" w:ascii="宋体" w:hAnsi="宋体"/>
                <w:b/>
                <w:bCs w:val="0"/>
                <w:i w:val="0"/>
                <w:snapToGrid/>
                <w:color w:val="000000"/>
                <w:sz w:val="24"/>
                <w:szCs w:val="24"/>
                <w:u w:val="none"/>
                <w:lang w:eastAsia="zh-CN"/>
              </w:rPr>
              <w:t>酸</w:t>
            </w:r>
          </w:p>
        </w:tc>
        <w:tc>
          <w:tcPr>
            <w:tcW w:w="1851"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val="en-US" w:eastAsia="zh-CN"/>
              </w:rPr>
            </w:pPr>
            <w:r>
              <w:rPr>
                <w:rFonts w:hint="eastAsia" w:ascii="宋体" w:hAnsi="宋体" w:eastAsia="宋体"/>
                <w:b/>
                <w:bCs w:val="0"/>
                <w:i w:val="0"/>
                <w:snapToGrid/>
                <w:color w:val="000000"/>
                <w:sz w:val="24"/>
                <w:szCs w:val="24"/>
                <w:u w:val="none"/>
                <w:lang w:val="en-US" w:eastAsia="zh-CN"/>
              </w:rPr>
              <w:t>危化品运输专用槽罐车</w:t>
            </w:r>
          </w:p>
        </w:tc>
        <w:tc>
          <w:tcPr>
            <w:tcW w:w="1753"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val="en-US" w:eastAsia="zh-CN"/>
              </w:rPr>
            </w:pPr>
            <w:r>
              <w:rPr>
                <w:rFonts w:hint="eastAsia" w:ascii="宋体" w:hAnsi="宋体"/>
                <w:b/>
                <w:bCs w:val="0"/>
                <w:i w:val="0"/>
                <w:snapToGrid/>
                <w:color w:val="000000"/>
                <w:sz w:val="24"/>
                <w:szCs w:val="24"/>
                <w:u w:val="none"/>
                <w:lang w:val="en-US" w:eastAsia="zh-CN"/>
              </w:rPr>
              <w:t>500</w:t>
            </w:r>
          </w:p>
        </w:tc>
        <w:tc>
          <w:tcPr>
            <w:tcW w:w="2129" w:type="dxa"/>
            <w:tcBorders>
              <w:tl2br w:val="nil"/>
              <w:tr2bl w:val="nil"/>
            </w:tcBorders>
            <w:noWrap w:val="0"/>
            <w:vAlign w:val="center"/>
          </w:tcPr>
          <w:p>
            <w:pPr>
              <w:jc w:val="right"/>
              <w:rPr>
                <w:rFonts w:hint="default" w:ascii="宋体" w:hAnsi="宋体" w:eastAsia="宋体"/>
                <w:b/>
                <w:bCs w:val="0"/>
                <w:i w:val="0"/>
                <w:snapToGrid/>
                <w:color w:val="000000"/>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outlineLvl w:val="9"/>
        <w:rPr>
          <w:rFonts w:hint="eastAsia" w:ascii="宋体" w:hAnsi="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outlineLvl w:val="9"/>
        <w:rPr>
          <w:rFonts w:hint="eastAsia" w:ascii="宋体" w:hAnsi="宋体"/>
          <w:b w:val="0"/>
          <w:bCs/>
          <w:sz w:val="24"/>
          <w:szCs w:val="24"/>
          <w:lang w:val="en-US" w:eastAsia="zh-CN"/>
        </w:rPr>
      </w:pPr>
      <w:r>
        <w:rPr>
          <w:rFonts w:hint="eastAsia" w:ascii="宋体" w:hAnsi="宋体"/>
          <w:b w:val="0"/>
          <w:bCs/>
          <w:sz w:val="24"/>
          <w:szCs w:val="24"/>
          <w:lang w:val="en-US" w:eastAsia="zh-CN"/>
        </w:rPr>
        <w:t>备注：1、投标报价含税（税率 9%）、货物保险费、杂费等各项费用。</w:t>
      </w:r>
    </w:p>
    <w:p>
      <w:pPr>
        <w:keepNext w:val="0"/>
        <w:keepLines w:val="0"/>
        <w:pageBreakBefore w:val="0"/>
        <w:widowControl w:val="0"/>
        <w:kinsoku/>
        <w:wordWrap/>
        <w:overflowPunct/>
        <w:topLinePunct w:val="0"/>
        <w:autoSpaceDE/>
        <w:autoSpaceDN/>
        <w:bidi w:val="0"/>
        <w:adjustRightInd w:val="0"/>
        <w:snapToGrid/>
        <w:spacing w:line="360" w:lineRule="auto"/>
        <w:ind w:left="-1440" w:leftChars="-600" w:right="0" w:rightChars="0" w:firstLine="1920" w:firstLineChars="800"/>
        <w:jc w:val="left"/>
        <w:textAlignment w:val="auto"/>
        <w:outlineLvl w:val="9"/>
        <w:rPr>
          <w:rFonts w:hint="eastAsia" w:ascii="宋体" w:hAnsi="宋体"/>
          <w:b w:val="0"/>
          <w:bCs/>
          <w:sz w:val="24"/>
          <w:szCs w:val="24"/>
          <w:lang w:val="en-US" w:eastAsia="zh-CN"/>
        </w:rPr>
      </w:pPr>
      <w:r>
        <w:rPr>
          <w:rFonts w:hint="eastAsia" w:ascii="宋体" w:hAnsi="宋体"/>
          <w:b w:val="0"/>
          <w:bCs/>
          <w:sz w:val="24"/>
          <w:szCs w:val="24"/>
          <w:lang w:val="en-US" w:eastAsia="zh-CN"/>
        </w:rPr>
        <w:t>2、以上提供运量均</w:t>
      </w:r>
      <w:bookmarkStart w:id="0" w:name="_GoBack"/>
      <w:bookmarkEnd w:id="0"/>
      <w:r>
        <w:rPr>
          <w:rFonts w:hint="eastAsia" w:ascii="宋体" w:hAnsi="宋体"/>
          <w:b w:val="0"/>
          <w:bCs/>
          <w:sz w:val="24"/>
          <w:szCs w:val="24"/>
          <w:lang w:val="en-US" w:eastAsia="zh-CN"/>
        </w:rPr>
        <w:t>为预估量，具体以实际发生为准。</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1" w:firstLineChars="100"/>
        <w:jc w:val="left"/>
        <w:textAlignment w:val="auto"/>
        <w:outlineLvl w:val="9"/>
        <w:rPr>
          <w:rFonts w:hint="eastAsia" w:ascii="宋体" w:hAnsi="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1" w:firstLineChars="100"/>
        <w:jc w:val="center"/>
        <w:textAlignment w:val="auto"/>
        <w:outlineLvl w:val="9"/>
        <w:rPr>
          <w:rFonts w:hint="eastAsia" w:ascii="宋体" w:hAnsi="宋体"/>
          <w:b/>
          <w:bCs w:val="0"/>
          <w:sz w:val="24"/>
          <w:szCs w:val="24"/>
          <w:lang w:val="en-US" w:eastAsia="zh-CN"/>
        </w:rPr>
      </w:pPr>
      <w:r>
        <w:rPr>
          <w:rFonts w:hint="eastAsia" w:ascii="宋体" w:hAnsi="宋体"/>
          <w:b/>
          <w:bCs w:val="0"/>
          <w:sz w:val="24"/>
          <w:szCs w:val="24"/>
          <w:lang w:val="en-US" w:eastAsia="zh-CN"/>
        </w:rPr>
        <w:t>请慎重报价！</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0" w:firstLineChars="100"/>
        <w:jc w:val="center"/>
        <w:textAlignment w:val="auto"/>
        <w:outlineLvl w:val="9"/>
        <w:rPr>
          <w:rFonts w:hint="eastAsia" w:ascii="宋体" w:hAnsi="宋体"/>
          <w:b w:val="0"/>
          <w:bCs/>
          <w:sz w:val="24"/>
          <w:szCs w:val="24"/>
          <w:lang w:val="en-US" w:eastAsia="zh-CN"/>
        </w:rPr>
      </w:pPr>
    </w:p>
    <w:p>
      <w:pPr>
        <w:jc w:val="center"/>
        <w:rPr>
          <w:rFonts w:hint="eastAsia"/>
          <w:b/>
          <w:bCs/>
          <w:sz w:val="24"/>
          <w:szCs w:val="24"/>
          <w:lang w:val="en-US" w:eastAsia="zh-CN"/>
        </w:rPr>
      </w:pPr>
      <w:r>
        <w:rPr>
          <w:rFonts w:hint="eastAsia" w:ascii="宋体" w:hAnsi="宋体"/>
          <w:b w:val="0"/>
          <w:bCs/>
          <w:sz w:val="24"/>
          <w:szCs w:val="24"/>
          <w:lang w:val="en-US" w:eastAsia="zh-CN"/>
        </w:rPr>
        <w:t xml:space="preserve">                  </w:t>
      </w:r>
    </w:p>
    <w:p>
      <w:pPr>
        <w:jc w:val="center"/>
        <w:rPr>
          <w:rFonts w:hint="default" w:eastAsia="宋体"/>
          <w:b/>
          <w:bCs/>
          <w:sz w:val="24"/>
          <w:szCs w:val="24"/>
          <w:u w:val="single"/>
          <w:lang w:val="en-US" w:eastAsia="zh-CN"/>
        </w:rPr>
      </w:pPr>
      <w:r>
        <w:rPr>
          <w:rFonts w:hint="eastAsia"/>
          <w:b/>
          <w:bCs/>
          <w:sz w:val="24"/>
          <w:szCs w:val="24"/>
          <w:lang w:val="en-US" w:eastAsia="zh-CN"/>
        </w:rPr>
        <w:t xml:space="preserve"> </w:t>
      </w:r>
      <w:r>
        <w:rPr>
          <w:rFonts w:hint="eastAsia"/>
          <w:b/>
          <w:bCs/>
          <w:sz w:val="24"/>
          <w:szCs w:val="24"/>
        </w:rPr>
        <w:t>报价单位（加盖公章）：</w:t>
      </w:r>
      <w:r>
        <w:rPr>
          <w:rFonts w:hint="eastAsia"/>
          <w:b/>
          <w:bCs/>
          <w:sz w:val="24"/>
          <w:szCs w:val="24"/>
          <w:u w:val="single"/>
          <w:lang w:val="en-US" w:eastAsia="zh-CN"/>
        </w:rPr>
        <w:t xml:space="preserve">                           </w:t>
      </w:r>
    </w:p>
    <w:p>
      <w:pPr>
        <w:ind w:firstLine="1687" w:firstLineChars="700"/>
        <w:jc w:val="both"/>
        <w:rPr>
          <w:rFonts w:hint="eastAsia"/>
          <w:b/>
          <w:bCs/>
          <w:sz w:val="24"/>
          <w:szCs w:val="24"/>
        </w:rPr>
      </w:pPr>
    </w:p>
    <w:p>
      <w:pPr>
        <w:ind w:firstLine="3373" w:firstLineChars="1400"/>
        <w:jc w:val="both"/>
        <w:rPr>
          <w:rFonts w:hint="default" w:eastAsia="宋体"/>
          <w:b/>
          <w:bCs/>
          <w:sz w:val="24"/>
          <w:szCs w:val="24"/>
          <w:u w:val="single"/>
          <w:lang w:val="en-US" w:eastAsia="zh-CN"/>
        </w:rPr>
      </w:pPr>
      <w:r>
        <w:rPr>
          <w:rFonts w:hint="eastAsia"/>
          <w:b/>
          <w:bCs/>
          <w:sz w:val="24"/>
          <w:szCs w:val="24"/>
        </w:rPr>
        <w:t>法人</w:t>
      </w:r>
      <w:r>
        <w:rPr>
          <w:rFonts w:hint="eastAsia"/>
          <w:b/>
          <w:bCs/>
          <w:sz w:val="24"/>
          <w:szCs w:val="24"/>
          <w:lang w:eastAsia="zh-CN"/>
        </w:rPr>
        <w:t>代表</w:t>
      </w:r>
      <w:r>
        <w:rPr>
          <w:rFonts w:hint="eastAsia"/>
          <w:b/>
          <w:bCs/>
          <w:sz w:val="24"/>
          <w:szCs w:val="24"/>
        </w:rPr>
        <w:t>或授权代理人（签字）：</w:t>
      </w:r>
      <w:r>
        <w:rPr>
          <w:rFonts w:hint="eastAsia"/>
          <w:b/>
          <w:bCs/>
          <w:sz w:val="24"/>
          <w:szCs w:val="24"/>
          <w:u w:val="single"/>
          <w:lang w:val="en-US" w:eastAsia="zh-CN"/>
        </w:rPr>
        <w:t xml:space="preserve">                        </w:t>
      </w:r>
    </w:p>
    <w:p>
      <w:pPr>
        <w:jc w:val="center"/>
        <w:rPr>
          <w:rFonts w:hint="eastAsia"/>
          <w:b/>
          <w:bCs/>
          <w:sz w:val="24"/>
          <w:szCs w:val="24"/>
          <w:lang w:val="en-US" w:eastAsia="zh-CN"/>
        </w:rPr>
      </w:pPr>
      <w:r>
        <w:rPr>
          <w:rFonts w:hint="eastAsia"/>
          <w:b/>
          <w:bCs/>
          <w:sz w:val="24"/>
          <w:szCs w:val="24"/>
          <w:lang w:val="en-US" w:eastAsia="zh-CN"/>
        </w:rPr>
        <w:t xml:space="preserve">          </w:t>
      </w:r>
    </w:p>
    <w:p>
      <w:pPr>
        <w:jc w:val="center"/>
        <w:rPr>
          <w:rFonts w:hint="eastAsia" w:ascii="宋体" w:hAnsi="宋体" w:eastAsia="宋体"/>
          <w:b/>
          <w:bCs/>
          <w:sz w:val="24"/>
          <w:szCs w:val="24"/>
          <w:lang w:val="en-US" w:eastAsia="zh-CN"/>
        </w:rPr>
      </w:pPr>
      <w:r>
        <w:rPr>
          <w:rFonts w:hint="eastAsia"/>
          <w:b/>
          <w:bCs/>
          <w:sz w:val="24"/>
          <w:szCs w:val="24"/>
          <w:lang w:val="en-US" w:eastAsia="zh-CN"/>
        </w:rPr>
        <w:t xml:space="preserve">                  报价</w:t>
      </w:r>
      <w:r>
        <w:rPr>
          <w:rFonts w:hint="eastAsia"/>
          <w:b/>
          <w:bCs/>
          <w:sz w:val="24"/>
          <w:szCs w:val="24"/>
        </w:rPr>
        <w:t>日期：</w:t>
      </w:r>
      <w:r>
        <w:rPr>
          <w:rFonts w:hint="eastAsia"/>
          <w:b/>
          <w:bCs/>
          <w:sz w:val="24"/>
          <w:szCs w:val="24"/>
          <w:u w:val="single"/>
          <w:lang w:val="en-US" w:eastAsia="zh-CN"/>
        </w:rPr>
        <w:t xml:space="preserve">                       </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6</w:t>
      </w:r>
      <w:r>
        <w:rPr>
          <w:rFonts w:ascii="宋体" w:hAnsi="宋体"/>
          <w:color w:val="auto"/>
          <w:sz w:val="24"/>
          <w:szCs w:val="24"/>
        </w:rPr>
        <w:t>月</w:t>
      </w:r>
      <w:r>
        <w:rPr>
          <w:rFonts w:hint="eastAsia" w:ascii="宋体" w:hAnsi="宋体"/>
          <w:color w:val="auto"/>
          <w:sz w:val="24"/>
          <w:szCs w:val="24"/>
          <w:lang w:val="en-US" w:eastAsia="zh-CN"/>
        </w:rPr>
        <w:t>24</w:t>
      </w:r>
      <w:r>
        <w:rPr>
          <w:rFonts w:ascii="宋体" w:hAnsi="宋体"/>
          <w:color w:val="auto"/>
          <w:sz w:val="24"/>
          <w:szCs w:val="24"/>
        </w:rPr>
        <w:t>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86"/>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w:altName w:val="Segoe U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972F68"/>
    <w:rsid w:val="11DE5603"/>
    <w:rsid w:val="13BA318B"/>
    <w:rsid w:val="1C28711D"/>
    <w:rsid w:val="1FC61767"/>
    <w:rsid w:val="228656D4"/>
    <w:rsid w:val="234F5E22"/>
    <w:rsid w:val="23F27268"/>
    <w:rsid w:val="252D19D6"/>
    <w:rsid w:val="25A87FB8"/>
    <w:rsid w:val="25BF27BD"/>
    <w:rsid w:val="2D230D73"/>
    <w:rsid w:val="323F2693"/>
    <w:rsid w:val="34FF5DC8"/>
    <w:rsid w:val="390D4485"/>
    <w:rsid w:val="3A4B4F63"/>
    <w:rsid w:val="3F114200"/>
    <w:rsid w:val="41417945"/>
    <w:rsid w:val="513C3EF8"/>
    <w:rsid w:val="556B3A6A"/>
    <w:rsid w:val="576718FE"/>
    <w:rsid w:val="586F64B0"/>
    <w:rsid w:val="589B3C10"/>
    <w:rsid w:val="5B2D6E0C"/>
    <w:rsid w:val="5DA113C7"/>
    <w:rsid w:val="603E0EA5"/>
    <w:rsid w:val="607D1710"/>
    <w:rsid w:val="71CE0F14"/>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p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2020-06-24T01:27:22Z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