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sz w:val="36"/>
          <w:szCs w:val="36"/>
          <w:lang w:val="en-US" w:eastAsia="zh-CN"/>
        </w:rPr>
      </w:pPr>
      <w:r>
        <w:rPr>
          <w:rFonts w:hint="eastAsia" w:ascii="宋体" w:hAnsi="宋体"/>
          <w:b/>
          <w:sz w:val="36"/>
          <w:szCs w:val="36"/>
          <w:lang w:val="en-US" w:eastAsia="zh-CN"/>
        </w:rPr>
        <w:t>石子自提运输</w:t>
      </w:r>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2020</w:t>
      </w:r>
      <w:r>
        <w:rPr>
          <w:rFonts w:ascii="宋体" w:hAnsi="宋体"/>
        </w:rPr>
        <w:t>年</w:t>
      </w:r>
      <w:r>
        <w:rPr>
          <w:rFonts w:hint="eastAsia" w:ascii="宋体" w:hAnsi="宋体"/>
          <w:lang w:val="en-US" w:eastAsia="zh-CN"/>
        </w:rPr>
        <w:t>6</w:t>
      </w:r>
      <w:r>
        <w:rPr>
          <w:rFonts w:ascii="宋体" w:hAnsi="宋体"/>
          <w:color w:val="000000"/>
        </w:rPr>
        <w:t>月</w:t>
      </w:r>
      <w:r>
        <w:rPr>
          <w:rFonts w:hint="eastAsia" w:ascii="宋体" w:hAnsi="宋体"/>
          <w:color w:val="000000"/>
          <w:lang w:val="en-US" w:eastAsia="zh-CN"/>
        </w:rPr>
        <w:t>28</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YSQC202007005SZZTYS</w:t>
      </w:r>
    </w:p>
    <w:p>
      <w:pPr>
        <w:ind w:firstLine="480" w:firstLineChars="200"/>
        <w:jc w:val="both"/>
        <w:rPr>
          <w:rFonts w:hint="eastAsia" w:ascii="宋体" w:hAnsi="宋体"/>
        </w:rPr>
      </w:pPr>
      <w:r>
        <w:rPr>
          <w:rFonts w:hint="eastAsia" w:ascii="宋体" w:hAnsi="宋体"/>
          <w:kern w:val="2"/>
          <w:sz w:val="24"/>
          <w:szCs w:val="24"/>
          <w:lang w:val="en-US" w:eastAsia="zh-CN" w:bidi="ar-SA"/>
        </w:rPr>
        <w:t>我公司将于近日对</w:t>
      </w:r>
      <w:r>
        <w:rPr>
          <w:rFonts w:hint="eastAsia" w:ascii="宋体" w:hAnsi="宋体"/>
          <w:b/>
          <w:bCs/>
          <w:color w:val="FF0000"/>
          <w:u w:val="none"/>
          <w:lang w:val="en-US" w:eastAsia="zh-CN"/>
        </w:rPr>
        <w:t>石子自提运输</w:t>
      </w:r>
      <w:r>
        <w:rPr>
          <w:rFonts w:hint="eastAsia" w:ascii="宋体" w:hAnsi="宋体"/>
          <w:kern w:val="2"/>
          <w:sz w:val="24"/>
          <w:szCs w:val="24"/>
          <w:lang w:val="en-US" w:eastAsia="zh-CN" w:bidi="ar-SA"/>
        </w:rPr>
        <w:t>进行招标，有意向合作的公司可与我公司联系进行</w:t>
      </w:r>
      <w:r>
        <w:rPr>
          <w:rFonts w:hint="eastAsia" w:ascii="宋体" w:hAnsi="宋体"/>
        </w:rPr>
        <w:t>网上报名者</w:t>
      </w:r>
      <w:r>
        <w:rPr>
          <w:rFonts w:hint="eastAsia" w:ascii="宋体" w:hAnsi="宋体"/>
          <w:lang w:eastAsia="zh-CN"/>
        </w:rPr>
        <w:t>（</w:t>
      </w:r>
      <w:r>
        <w:rPr>
          <w:rFonts w:hint="eastAsia" w:ascii="宋体" w:hAnsi="宋体"/>
          <w:lang w:val="en-US" w:eastAsia="zh-CN"/>
        </w:rPr>
        <w:t>疫情期间谢绝现场报名</w:t>
      </w:r>
      <w:r>
        <w:rPr>
          <w:rFonts w:hint="eastAsia" w:ascii="宋体" w:hAnsi="宋体"/>
          <w:lang w:eastAsia="zh-CN"/>
        </w:rPr>
        <w:t>）</w:t>
      </w:r>
      <w:r>
        <w:rPr>
          <w:rFonts w:hint="eastAsia" w:ascii="宋体" w:hAnsi="宋体"/>
        </w:rPr>
        <w:t>，请按要求填写投标报名函，并附上相关资质及业绩，</w:t>
      </w:r>
      <w:r>
        <w:rPr>
          <w:rFonts w:hint="eastAsia" w:ascii="宋体" w:hAnsi="宋体"/>
          <w:lang w:val="en-US" w:eastAsia="zh-CN"/>
        </w:rPr>
        <w:t>公平交易承诺函（</w:t>
      </w:r>
      <w:r>
        <w:rPr>
          <w:rFonts w:hint="eastAsia" w:ascii="宋体" w:hAnsi="宋体"/>
        </w:rPr>
        <w:t>加盖公章</w:t>
      </w:r>
      <w:r>
        <w:rPr>
          <w:rFonts w:hint="eastAsia" w:ascii="宋体" w:hAnsi="宋体"/>
          <w:lang w:eastAsia="zh-CN"/>
        </w:rPr>
        <w:t>）</w:t>
      </w:r>
      <w:r>
        <w:rPr>
          <w:rFonts w:hint="eastAsia" w:ascii="宋体" w:hAnsi="宋体"/>
        </w:rPr>
        <w:t>扫描后发至</w:t>
      </w:r>
      <w:r>
        <w:rPr>
          <w:rFonts w:hint="eastAsia" w:ascii="宋体" w:hAnsi="宋体"/>
          <w:lang w:val="en-US" w:eastAsia="zh-CN"/>
        </w:rPr>
        <w:t>陈凯</w:t>
      </w:r>
      <w:r>
        <w:rPr>
          <w:rFonts w:hint="eastAsia" w:ascii="宋体" w:hAnsi="宋体"/>
        </w:rPr>
        <w:t>邮箱。</w:t>
      </w:r>
    </w:p>
    <w:p>
      <w:pPr>
        <w:widowControl w:val="0"/>
        <w:autoSpaceDE w:val="0"/>
        <w:spacing w:line="240" w:lineRule="auto"/>
        <w:ind w:left="240" w:leftChars="100" w:firstLine="480" w:firstLineChars="200"/>
        <w:jc w:val="both"/>
        <w:rPr>
          <w:rFonts w:hint="eastAsia" w:ascii="宋体" w:hAnsi="宋体" w:cs="宋体"/>
        </w:rPr>
      </w:pPr>
      <w:r>
        <w:rPr>
          <w:rFonts w:hint="eastAsia" w:ascii="宋体" w:hAnsi="宋体" w:cs="宋体"/>
        </w:rPr>
        <w:t>项目业务内容：</w:t>
      </w:r>
    </w:p>
    <w:p>
      <w:pPr>
        <w:widowControl w:val="0"/>
        <w:autoSpaceDE w:val="0"/>
        <w:spacing w:line="240" w:lineRule="auto"/>
        <w:ind w:left="240" w:leftChars="100" w:firstLine="480" w:firstLineChars="200"/>
        <w:jc w:val="both"/>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芜湖新兴铸管有限责任公司从芜湖海螺水泥公司库山村采石场，采购的分子、瓜子片至厂区自卸车回提运输项目，月均运量约4000吨。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Times New Roman"/>
          <w:kern w:val="0"/>
          <w:sz w:val="24"/>
          <w:szCs w:val="24"/>
          <w:lang w:val="en-US" w:eastAsia="zh-CN" w:bidi="ar-SA"/>
        </w:rPr>
      </w:pPr>
      <w:bookmarkStart w:id="0" w:name="_GoBack"/>
      <w:bookmarkEnd w:id="0"/>
      <w:r>
        <w:rPr>
          <w:rFonts w:hint="eastAsia" w:ascii="宋体" w:hAnsi="宋体" w:eastAsia="宋体" w:cs="宋体"/>
          <w:b w:val="0"/>
          <w:bCs w:val="0"/>
          <w:sz w:val="24"/>
          <w:szCs w:val="24"/>
          <w:lang w:val="en-US" w:eastAsia="zh-CN"/>
        </w:rPr>
        <w:t>合同期限6个月：自2020年7月29日起至2021年1月28日止。</w:t>
      </w:r>
    </w:p>
    <w:p>
      <w:pPr>
        <w:widowControl w:val="0"/>
        <w:autoSpaceDE w:val="0"/>
        <w:spacing w:line="240" w:lineRule="auto"/>
        <w:ind w:left="240" w:leftChars="100" w:firstLine="480" w:firstLineChars="200"/>
        <w:jc w:val="both"/>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凯</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default" w:ascii="宋体" w:hAnsi="宋体" w:eastAsia="宋体" w:cs="宋体"/>
          <w:b w:val="0"/>
          <w:bCs w:val="0"/>
          <w:kern w:val="2"/>
          <w:sz w:val="24"/>
          <w:szCs w:val="24"/>
          <w:lang w:val="en-US" w:eastAsia="zh-CN" w:bidi="ar-SA"/>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徐维锋</w:t>
      </w:r>
      <w:r>
        <w:rPr>
          <w:rFonts w:hint="eastAsia" w:ascii="宋体" w:hAnsi="宋体"/>
        </w:rPr>
        <w:t xml:space="preserve">   </w:t>
      </w:r>
      <w:r>
        <w:rPr>
          <w:rFonts w:hint="eastAsia" w:ascii="宋体" w:hAnsi="宋体"/>
          <w:lang w:val="en-US" w:eastAsia="zh-CN"/>
        </w:rPr>
        <w:t xml:space="preserve"> 15178577168</w:t>
      </w:r>
      <w:r>
        <w:rPr>
          <w:rFonts w:hint="eastAsia" w:ascii="宋体" w:hAnsi="宋体" w:eastAsia="宋体" w:cs="宋体"/>
          <w:b w:val="0"/>
          <w:bCs w:val="0"/>
          <w:kern w:val="2"/>
          <w:sz w:val="24"/>
          <w:szCs w:val="24"/>
          <w:lang w:val="en-US" w:eastAsia="zh-CN" w:bidi="ar-SA"/>
        </w:rPr>
        <w:t xml:space="preserve">  </w:t>
      </w:r>
    </w:p>
    <w:p>
      <w:pPr>
        <w:rPr>
          <w:rFonts w:hint="eastAsia" w:ascii="宋体" w:hAnsi="宋体"/>
        </w:rPr>
      </w:pP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7</w:t>
      </w:r>
      <w:r>
        <w:rPr>
          <w:rFonts w:ascii="宋体" w:hAnsi="宋体"/>
          <w:b w:val="0"/>
          <w:bCs/>
          <w:color w:val="auto"/>
        </w:rPr>
        <w:t>月</w:t>
      </w:r>
      <w:r>
        <w:rPr>
          <w:rFonts w:hint="eastAsia" w:ascii="宋体" w:hAnsi="宋体"/>
          <w:b w:val="0"/>
          <w:bCs/>
          <w:color w:val="auto"/>
          <w:u w:val="single"/>
          <w:lang w:val="en-US" w:eastAsia="zh-CN"/>
        </w:rPr>
        <w:t>17</w:t>
      </w:r>
      <w:r>
        <w:rPr>
          <w:rFonts w:ascii="宋体" w:hAnsi="宋体"/>
          <w:b w:val="0"/>
          <w:bCs/>
          <w:color w:val="auto"/>
        </w:rPr>
        <w:t>日</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val="0"/>
          <w:bCs/>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2020</w:t>
      </w:r>
      <w:r>
        <w:rPr>
          <w:rFonts w:hint="eastAsia" w:ascii="宋体" w:hAnsi="宋体"/>
          <w:b w:val="0"/>
          <w:bCs/>
          <w:color w:val="auto"/>
          <w:u w:val="single"/>
        </w:rPr>
        <w:t xml:space="preserve"> </w:t>
      </w:r>
      <w:r>
        <w:rPr>
          <w:rFonts w:ascii="宋体" w:hAnsi="宋体"/>
          <w:b w:val="0"/>
          <w:bCs/>
          <w:color w:val="auto"/>
        </w:rPr>
        <w:t>年</w:t>
      </w:r>
      <w:r>
        <w:rPr>
          <w:rFonts w:hint="eastAsia" w:ascii="宋体" w:hAnsi="宋体"/>
          <w:b w:val="0"/>
          <w:bCs/>
          <w:color w:val="auto"/>
          <w:u w:val="single"/>
          <w:lang w:val="en-US" w:eastAsia="zh-CN"/>
        </w:rPr>
        <w:t xml:space="preserve"> 7</w:t>
      </w:r>
      <w:r>
        <w:rPr>
          <w:rFonts w:ascii="宋体" w:hAnsi="宋体"/>
          <w:b w:val="0"/>
          <w:bCs/>
          <w:color w:val="auto"/>
        </w:rPr>
        <w:t>月</w:t>
      </w:r>
      <w:r>
        <w:rPr>
          <w:rFonts w:hint="eastAsia" w:ascii="宋体" w:hAnsi="宋体"/>
          <w:b w:val="0"/>
          <w:bCs/>
          <w:color w:val="auto"/>
          <w:u w:val="single"/>
          <w:lang w:val="en-US" w:eastAsia="zh-CN"/>
        </w:rPr>
        <w:t xml:space="preserve"> 21</w:t>
      </w:r>
      <w:r>
        <w:rPr>
          <w:rFonts w:ascii="宋体" w:hAnsi="宋体"/>
          <w:b w:val="0"/>
          <w:bCs/>
          <w:color w:val="auto"/>
        </w:rPr>
        <w:t>日</w:t>
      </w:r>
      <w:r>
        <w:rPr>
          <w:rFonts w:hint="eastAsia" w:ascii="宋体" w:hAnsi="宋体"/>
          <w:b w:val="0"/>
          <w:bCs/>
          <w:color w:val="auto"/>
          <w:u w:val="single"/>
          <w:lang w:val="en-US" w:eastAsia="zh-CN"/>
        </w:rPr>
        <w:t>14:00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spacing w:line="300" w:lineRule="auto"/>
        <w:ind w:firstLine="600"/>
        <w:rPr>
          <w:rFonts w:hint="eastAsia" w:ascii="宋体" w:hAnsi="宋体"/>
          <w:b/>
          <w:color w:val="000000"/>
        </w:rPr>
      </w:pP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附件3：报价表</w:t>
      </w:r>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2"/>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bCs/>
          <w:sz w:val="32"/>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伍仟</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2020</w:t>
      </w:r>
      <w:r>
        <w:rPr>
          <w:rFonts w:hint="eastAsia" w:ascii="宋体" w:hAnsi="宋体"/>
          <w:bCs/>
          <w:color w:val="7030A0"/>
        </w:rPr>
        <w:t xml:space="preserve">年 </w:t>
      </w:r>
      <w:r>
        <w:rPr>
          <w:rFonts w:hint="eastAsia" w:ascii="宋体" w:hAnsi="宋体"/>
          <w:bCs/>
          <w:color w:val="7030A0"/>
          <w:u w:val="single"/>
          <w:lang w:val="en-US" w:eastAsia="zh-CN"/>
        </w:rPr>
        <w:t>7</w:t>
      </w:r>
      <w:r>
        <w:rPr>
          <w:rFonts w:hint="eastAsia" w:ascii="宋体" w:hAnsi="宋体"/>
          <w:bCs/>
          <w:color w:val="7030A0"/>
        </w:rPr>
        <w:t>月</w:t>
      </w:r>
      <w:r>
        <w:rPr>
          <w:rFonts w:hint="eastAsia" w:ascii="宋体" w:hAnsi="宋体"/>
          <w:bCs/>
          <w:color w:val="7030A0"/>
          <w:u w:val="single"/>
          <w:lang w:val="en-US" w:eastAsia="zh-CN"/>
        </w:rPr>
        <w:t>17</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缴纳此费用（否则视为自动放弃投标资格），注明投标保证金。如未中标，发包人将会无息退还此费用(60日内)，如中标，则此款项自动转为履约保证金。</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spacing w:line="240" w:lineRule="auto"/>
        <w:ind w:left="285" w:leftChars="0"/>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具有独立订立合同的权利。</w:t>
      </w:r>
    </w:p>
    <w:p>
      <w:pPr>
        <w:widowControl w:val="0"/>
        <w:numPr>
          <w:ilvl w:val="0"/>
          <w:numId w:val="3"/>
        </w:numPr>
        <w:tabs>
          <w:tab w:val="left" w:pos="1125"/>
        </w:tabs>
        <w:spacing w:line="240" w:lineRule="auto"/>
        <w:ind w:left="1265" w:leftChars="0" w:hanging="425" w:firstLineChars="0"/>
        <w:jc w:val="both"/>
        <w:rPr>
          <w:rFonts w:hint="eastAsia" w:ascii="宋体" w:hAnsi="宋体"/>
          <w:color w:val="FF0000"/>
        </w:rPr>
      </w:pPr>
      <w:r>
        <w:rPr>
          <w:rFonts w:hint="eastAsia" w:ascii="宋体" w:hAnsi="宋体"/>
        </w:rPr>
        <w:t>必须有</w:t>
      </w:r>
      <w:r>
        <w:rPr>
          <w:rFonts w:hint="eastAsia" w:ascii="宋体" w:hAnsi="宋体"/>
          <w:lang w:val="en-US" w:eastAsia="zh-CN"/>
        </w:rPr>
        <w:t>履约</w:t>
      </w:r>
      <w:r>
        <w:rPr>
          <w:rFonts w:hint="eastAsia" w:ascii="宋体" w:hAnsi="宋体"/>
        </w:rPr>
        <w:t>能力和一定垫资能力。</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spacing w:line="240" w:lineRule="auto"/>
        <w:ind w:left="1265" w:leftChars="0" w:hanging="425" w:firstLineChars="0"/>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tabs>
          <w:tab w:val="left" w:pos="705"/>
        </w:tabs>
        <w:spacing w:line="240" w:lineRule="auto"/>
        <w:ind w:left="285" w:leftChars="0" w:firstLine="0" w:firstLineChars="0"/>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spacing w:line="240" w:lineRule="auto"/>
        <w:ind w:left="420" w:firstLine="60" w:firstLineChars="25"/>
        <w:jc w:val="both"/>
        <w:rPr>
          <w:rFonts w:hint="eastAsia" w:ascii="宋体" w:hAnsi="宋体"/>
        </w:rPr>
      </w:pPr>
      <w:r>
        <w:rPr>
          <w:rFonts w:hint="eastAsia" w:ascii="宋体" w:hAnsi="宋体"/>
        </w:rPr>
        <w:t>(1)商务文件：</w:t>
      </w:r>
    </w:p>
    <w:p>
      <w:pPr>
        <w:widowControl w:val="0"/>
        <w:numPr>
          <w:ilvl w:val="0"/>
          <w:numId w:val="4"/>
        </w:numPr>
        <w:spacing w:line="240" w:lineRule="auto"/>
        <w:ind w:firstLine="120"/>
        <w:jc w:val="both"/>
        <w:rPr>
          <w:rFonts w:hint="eastAsia" w:ascii="宋体" w:hAnsi="宋体"/>
        </w:rPr>
      </w:pPr>
      <w:r>
        <w:rPr>
          <w:rFonts w:hint="eastAsia" w:ascii="宋体" w:hAnsi="宋体"/>
        </w:rPr>
        <w:t>投标人法定代表人授权及授权代表身份证复印件。</w:t>
      </w:r>
    </w:p>
    <w:p>
      <w:pPr>
        <w:widowControl w:val="0"/>
        <w:numPr>
          <w:ilvl w:val="0"/>
          <w:numId w:val="4"/>
        </w:numPr>
        <w:spacing w:line="240" w:lineRule="auto"/>
        <w:ind w:firstLine="120"/>
        <w:jc w:val="both"/>
        <w:rPr>
          <w:rFonts w:ascii="宋体" w:hAnsi="宋体"/>
        </w:rPr>
      </w:pPr>
      <w:r>
        <w:rPr>
          <w:rFonts w:hint="eastAsia" w:ascii="宋体" w:hAnsi="宋体"/>
        </w:rPr>
        <w:t>近几年内与此项目相关的业绩合同。</w:t>
      </w:r>
    </w:p>
    <w:p>
      <w:pPr>
        <w:widowControl w:val="0"/>
        <w:numPr>
          <w:ilvl w:val="0"/>
          <w:numId w:val="4"/>
        </w:numPr>
        <w:spacing w:line="240" w:lineRule="auto"/>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numPr>
          <w:ilvl w:val="0"/>
          <w:numId w:val="4"/>
        </w:numPr>
        <w:spacing w:line="240" w:lineRule="auto"/>
        <w:ind w:firstLine="120"/>
        <w:jc w:val="both"/>
        <w:rPr>
          <w:rFonts w:hint="eastAsia" w:ascii="宋体" w:hAnsi="宋体"/>
          <w:bCs/>
          <w:color w:val="000000"/>
        </w:rPr>
      </w:pPr>
      <w:r>
        <w:rPr>
          <w:rFonts w:hint="eastAsia" w:ascii="宋体" w:hAnsi="宋体"/>
        </w:rPr>
        <w:t>企业法人营业执照及企业通过的相关体系认证文件等。</w:t>
      </w:r>
    </w:p>
    <w:p>
      <w:pPr>
        <w:widowControl w:val="0"/>
        <w:spacing w:line="240" w:lineRule="auto"/>
        <w:ind w:left="480"/>
        <w:jc w:val="both"/>
        <w:rPr>
          <w:rFonts w:hint="eastAsia" w:ascii="宋体" w:hAnsi="宋体"/>
          <w:bCs/>
          <w:color w:val="000000"/>
        </w:rPr>
      </w:pPr>
      <w:r>
        <w:rPr>
          <w:rFonts w:hint="eastAsia" w:ascii="宋体" w:hAnsi="宋体"/>
          <w:bCs/>
          <w:color w:val="000000"/>
        </w:rPr>
        <w:t>(2)技术文件：包括投标方案及其说明等。</w:t>
      </w:r>
    </w:p>
    <w:p>
      <w:pPr>
        <w:widowControl w:val="0"/>
        <w:spacing w:line="240" w:lineRule="auto"/>
        <w:ind w:left="480"/>
        <w:jc w:val="both"/>
        <w:rPr>
          <w:rFonts w:ascii="宋体" w:hAnsi="宋体"/>
          <w:bCs/>
          <w:color w:val="000000"/>
        </w:rPr>
      </w:pPr>
      <w:r>
        <w:rPr>
          <w:rFonts w:hint="eastAsia" w:ascii="宋体" w:hAnsi="宋体"/>
          <w:bCs/>
          <w:color w:val="000000"/>
        </w:rPr>
        <w:t>(3)价格文件：一份即可，必须单独密封。投标人必须填写投标报价表；</w:t>
      </w:r>
    </w:p>
    <w:p>
      <w:pPr>
        <w:widowControl w:val="0"/>
        <w:spacing w:line="240" w:lineRule="auto"/>
        <w:ind w:left="480"/>
        <w:jc w:val="both"/>
        <w:rPr>
          <w:rFonts w:ascii="宋体" w:hAnsi="宋体"/>
          <w:color w:val="000000"/>
        </w:rPr>
      </w:pPr>
      <w:r>
        <w:rPr>
          <w:rFonts w:hint="eastAsia" w:ascii="宋体" w:hAnsi="宋体"/>
          <w:color w:val="000000"/>
        </w:rPr>
        <w:t>(4)其它文件：包括商务、技术或不满足招标文件的差异说明，招标文件要求具备的其他内容，以及投标人额外承诺或补充说明等。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8"/>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8"/>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、评标标准</w:t>
      </w:r>
    </w:p>
    <w:p>
      <w:pPr>
        <w:spacing w:line="240" w:lineRule="auto"/>
        <w:ind w:left="240" w:leftChars="100"/>
        <w:rPr>
          <w:rFonts w:hint="eastAsia"/>
          <w:color w:val="auto"/>
          <w:sz w:val="24"/>
          <w:szCs w:val="24"/>
        </w:rPr>
      </w:pPr>
      <w:r>
        <w:rPr>
          <w:rFonts w:hint="eastAsia"/>
          <w:color w:val="auto"/>
          <w:sz w:val="24"/>
          <w:szCs w:val="24"/>
        </w:rPr>
        <w:t>由评标委员会评分，按分数从高到低顺序推荐中标候选单位。</w:t>
      </w:r>
    </w:p>
    <w:p>
      <w:pPr>
        <w:spacing w:line="240" w:lineRule="auto"/>
        <w:ind w:left="240" w:left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spacing w:line="240" w:lineRule="auto"/>
        <w:ind w:left="240" w:leftChars="1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本次招标采用一次报价开标。</w:t>
      </w:r>
    </w:p>
    <w:p>
      <w:pPr>
        <w:spacing w:line="240" w:lineRule="auto"/>
        <w:ind w:left="240" w:leftChars="100"/>
        <w:rPr>
          <w:color w:val="0000FF"/>
          <w:sz w:val="24"/>
          <w:szCs w:val="24"/>
        </w:rPr>
      </w:pPr>
      <w:r>
        <w:rPr>
          <w:rFonts w:hint="eastAsia"/>
          <w:color w:val="auto"/>
          <w:sz w:val="24"/>
          <w:szCs w:val="24"/>
        </w:rPr>
        <w:t>评分标准：</w:t>
      </w:r>
      <w:r>
        <w:rPr>
          <w:rFonts w:hint="eastAsia"/>
          <w:color w:val="auto"/>
          <w:sz w:val="24"/>
          <w:szCs w:val="24"/>
          <w:lang w:val="en-US" w:eastAsia="zh-CN"/>
        </w:rPr>
        <w:t>价格70分，及时率20分，业绩5分，企业信誉5分</w:t>
      </w:r>
      <w:r>
        <w:rPr>
          <w:rFonts w:hint="eastAsia"/>
          <w:color w:val="auto"/>
          <w:sz w:val="24"/>
          <w:szCs w:val="24"/>
        </w:rPr>
        <w:t>。</w:t>
      </w:r>
    </w:p>
    <w:p>
      <w:pPr>
        <w:spacing w:line="240" w:lineRule="auto"/>
        <w:rPr>
          <w:rFonts w:hint="default" w:eastAsia="宋体"/>
          <w:b/>
          <w:color w:val="0000FF"/>
          <w:sz w:val="24"/>
          <w:szCs w:val="24"/>
          <w:lang w:val="en-US" w:eastAsia="zh-CN"/>
        </w:rPr>
      </w:pPr>
      <w:r>
        <w:rPr>
          <w:rFonts w:hint="eastAsia"/>
          <w:b/>
          <w:color w:val="0000FF"/>
          <w:sz w:val="24"/>
          <w:szCs w:val="24"/>
        </w:rPr>
        <w:t>十</w:t>
      </w:r>
      <w:r>
        <w:rPr>
          <w:rFonts w:hint="eastAsia"/>
          <w:b/>
          <w:color w:val="0000FF"/>
          <w:sz w:val="24"/>
          <w:szCs w:val="24"/>
          <w:lang w:val="en-US" w:eastAsia="zh-CN"/>
        </w:rPr>
        <w:t>三</w:t>
      </w:r>
      <w:r>
        <w:rPr>
          <w:rFonts w:hint="eastAsia"/>
          <w:b/>
          <w:color w:val="0000FF"/>
          <w:sz w:val="24"/>
          <w:szCs w:val="24"/>
        </w:rPr>
        <w:t>、其他要求</w:t>
      </w:r>
    </w:p>
    <w:p>
      <w:pPr>
        <w:numPr>
          <w:ilvl w:val="0"/>
          <w:numId w:val="9"/>
        </w:numPr>
        <w:spacing w:line="24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投标单位需具备普通货运资质的法人单位和履约能力，能够提供满足招标方运输服务需求。</w:t>
      </w:r>
    </w:p>
    <w:p>
      <w:pPr>
        <w:numPr>
          <w:ilvl w:val="0"/>
          <w:numId w:val="9"/>
        </w:numPr>
        <w:spacing w:line="24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中标方应严格遵守国家道路运输法律、法规，提供的承运自卸车装载量执行国家规定标准，确保满足所承接招标方运输用车需求，车辆及驾驶人员需具备合法、有效证照。。</w:t>
      </w:r>
    </w:p>
    <w:p>
      <w:pPr>
        <w:numPr>
          <w:ilvl w:val="0"/>
          <w:numId w:val="9"/>
        </w:numPr>
        <w:spacing w:line="24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标方应当严格遵守《安全生产法》，不得违反货物交接区域内招标方相关安全操作规程，中标方应按照国家规定为其从业人员配备必要的劳动防护用品，进行运输业务相关的安全培训和教育。需为所属从业人员购买工伤保险（意外伤害保险），且每人保额要超过60万元，投保记录复印件交招标方留档。</w:t>
      </w:r>
    </w:p>
    <w:p>
      <w:pPr>
        <w:numPr>
          <w:ilvl w:val="0"/>
          <w:numId w:val="9"/>
        </w:numPr>
        <w:spacing w:line="24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中标方需接受招标方根据生产和经营的需要，在合同有效期内运输量增减调整，不得以此要求变更合同价格。</w:t>
      </w:r>
    </w:p>
    <w:p>
      <w:pPr>
        <w:numPr>
          <w:ilvl w:val="0"/>
          <w:numId w:val="9"/>
        </w:numPr>
        <w:spacing w:line="24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投标方按报价表要求报价。中标方需为招标方托运货物办理货物运输保险，并负责处理保险理赔事宜。</w:t>
      </w:r>
    </w:p>
    <w:p>
      <w:pPr>
        <w:numPr>
          <w:ilvl w:val="0"/>
          <w:numId w:val="9"/>
        </w:numPr>
        <w:spacing w:line="24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color w:val="auto"/>
          <w:sz w:val="24"/>
          <w:szCs w:val="24"/>
          <w:lang w:val="en-US" w:eastAsia="zh-CN"/>
        </w:rPr>
        <w:t>以月为结算期，中标单位次月10日前将用车部门核准出具的结算证明交运输部，经运输部核算金额后再开据有效增值税专用发票，一票结算，收到发票后次月电汇付款。结算同时，中标方需提供车辆过磅凭证。</w:t>
      </w:r>
    </w:p>
    <w:p>
      <w:pPr>
        <w:numPr>
          <w:ilvl w:val="0"/>
          <w:numId w:val="9"/>
        </w:numPr>
        <w:spacing w:line="24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标方需缴纳五万元履约保证金。合同执行期结束，经双方确认无合同纠纷后，于30日内无息退还履约保证金，如果此时存在尚未解决合同争端，履约保证金的有效期将延长到上述争端最终解决且所有理赔完毕。中标方在合同履约过程中，如发生违约行为或管理不善引发安全事故，招标方有权终止双方合同并从合同履约保证金中予以相应考核处罚。</w:t>
      </w:r>
    </w:p>
    <w:p>
      <w:pPr>
        <w:numPr>
          <w:numId w:val="0"/>
        </w:numPr>
        <w:spacing w:line="240" w:lineRule="auto"/>
        <w:ind w:leftChars="0"/>
        <w:rPr>
          <w:rFonts w:hint="eastAsia" w:ascii="宋体" w:hAnsi="宋体" w:eastAsia="宋体" w:cs="宋体"/>
          <w:color w:val="auto"/>
          <w:sz w:val="24"/>
          <w:szCs w:val="24"/>
          <w:lang w:val="en-US" w:eastAsia="zh-CN"/>
        </w:rPr>
      </w:pPr>
    </w:p>
    <w:p>
      <w:pPr>
        <w:numPr>
          <w:numId w:val="0"/>
        </w:numPr>
        <w:spacing w:line="240" w:lineRule="auto"/>
        <w:ind w:leftChars="0"/>
        <w:rPr>
          <w:rFonts w:hint="eastAsia" w:ascii="宋体" w:hAnsi="宋体" w:eastAsia="宋体" w:cs="宋体"/>
          <w:color w:val="auto"/>
          <w:sz w:val="24"/>
          <w:szCs w:val="24"/>
          <w:lang w:val="en-US" w:eastAsia="zh-CN"/>
        </w:rPr>
      </w:pPr>
    </w:p>
    <w:p>
      <w:pPr>
        <w:numPr>
          <w:numId w:val="0"/>
        </w:numPr>
        <w:spacing w:line="240" w:lineRule="auto"/>
        <w:ind w:leftChars="0"/>
        <w:rPr>
          <w:rFonts w:hint="eastAsia" w:ascii="宋体" w:hAnsi="宋体" w:eastAsia="宋体" w:cs="宋体"/>
          <w:color w:val="auto"/>
          <w:sz w:val="24"/>
          <w:szCs w:val="24"/>
          <w:lang w:val="en-US" w:eastAsia="zh-CN"/>
        </w:rPr>
      </w:pPr>
    </w:p>
    <w:p>
      <w:pPr>
        <w:numPr>
          <w:numId w:val="0"/>
        </w:numPr>
        <w:spacing w:line="240" w:lineRule="auto"/>
        <w:ind w:leftChars="0"/>
        <w:rPr>
          <w:rFonts w:hint="eastAsia" w:ascii="宋体" w:hAnsi="宋体" w:eastAsia="宋体" w:cs="宋体"/>
          <w:color w:val="auto"/>
          <w:sz w:val="24"/>
          <w:szCs w:val="24"/>
          <w:lang w:val="en-US" w:eastAsia="zh-CN"/>
        </w:rPr>
      </w:pPr>
    </w:p>
    <w:p>
      <w:pPr>
        <w:numPr>
          <w:numId w:val="0"/>
        </w:numPr>
        <w:spacing w:line="240" w:lineRule="auto"/>
        <w:ind w:leftChars="0"/>
        <w:rPr>
          <w:rFonts w:hint="eastAsia" w:ascii="宋体" w:hAnsi="宋体" w:eastAsia="宋体" w:cs="宋体"/>
          <w:color w:val="auto"/>
          <w:sz w:val="24"/>
          <w:szCs w:val="24"/>
          <w:lang w:val="en-US" w:eastAsia="zh-CN"/>
        </w:rPr>
      </w:pPr>
    </w:p>
    <w:p>
      <w:pPr>
        <w:numPr>
          <w:numId w:val="0"/>
        </w:numPr>
        <w:spacing w:line="240" w:lineRule="auto"/>
        <w:ind w:leftChars="0"/>
        <w:rPr>
          <w:rFonts w:hint="eastAsia" w:ascii="宋体" w:hAnsi="宋体" w:eastAsia="宋体" w:cs="宋体"/>
          <w:color w:val="auto"/>
          <w:sz w:val="24"/>
          <w:szCs w:val="24"/>
          <w:lang w:val="en-US" w:eastAsia="zh-CN"/>
        </w:rPr>
      </w:pPr>
    </w:p>
    <w:p>
      <w:pPr>
        <w:numPr>
          <w:numId w:val="0"/>
        </w:numPr>
        <w:spacing w:line="240" w:lineRule="auto"/>
        <w:ind w:leftChars="0"/>
        <w:rPr>
          <w:rFonts w:hint="eastAsia" w:ascii="宋体" w:hAnsi="宋体" w:eastAsia="宋体" w:cs="宋体"/>
          <w:color w:val="auto"/>
          <w:sz w:val="24"/>
          <w:szCs w:val="24"/>
          <w:lang w:val="en-US" w:eastAsia="zh-CN"/>
        </w:rPr>
      </w:pPr>
    </w:p>
    <w:p>
      <w:pPr>
        <w:spacing w:line="240" w:lineRule="auto"/>
        <w:ind w:firstLine="420" w:firstLineChars="0"/>
        <w:rPr>
          <w:rFonts w:hint="eastAsia" w:ascii="宋体" w:hAnsi="宋体"/>
          <w:b w:val="0"/>
          <w:bCs w:val="0"/>
          <w:color w:val="auto"/>
          <w:sz w:val="24"/>
          <w:szCs w:val="24"/>
          <w:u w:val="none" w:color="auto"/>
          <w:lang w:val="en-US" w:eastAsia="zh-CN"/>
        </w:rPr>
      </w:pPr>
    </w:p>
    <w:p>
      <w:pPr>
        <w:spacing w:line="240" w:lineRule="auto"/>
        <w:rPr>
          <w:rFonts w:hint="eastAsia"/>
          <w:b/>
          <w:color w:val="auto"/>
          <w:sz w:val="24"/>
          <w:szCs w:val="24"/>
        </w:rPr>
      </w:pPr>
    </w:p>
    <w:p>
      <w:pPr>
        <w:spacing w:line="240" w:lineRule="auto"/>
        <w:rPr>
          <w:rFonts w:hint="eastAsia"/>
          <w:b/>
          <w:color w:val="auto"/>
          <w:sz w:val="24"/>
          <w:szCs w:val="24"/>
        </w:rPr>
      </w:pPr>
    </w:p>
    <w:p>
      <w:pPr>
        <w:spacing w:line="240" w:lineRule="auto"/>
        <w:rPr>
          <w:rFonts w:hint="eastAsia"/>
          <w:b/>
          <w:color w:val="auto"/>
          <w:sz w:val="24"/>
          <w:szCs w:val="24"/>
        </w:rPr>
      </w:pPr>
    </w:p>
    <w:p>
      <w:pPr>
        <w:numPr>
          <w:ilvl w:val="0"/>
          <w:numId w:val="10"/>
        </w:numPr>
        <w:spacing w:line="240" w:lineRule="auto"/>
        <w:rPr>
          <w:rFonts w:hint="eastAsia"/>
          <w:b/>
          <w:color w:val="auto"/>
          <w:sz w:val="24"/>
          <w:szCs w:val="24"/>
          <w:lang w:val="en-US" w:eastAsia="zh-CN"/>
        </w:rPr>
      </w:pPr>
      <w:r>
        <w:rPr>
          <w:rFonts w:hint="eastAsia"/>
          <w:b/>
          <w:color w:val="auto"/>
          <w:sz w:val="24"/>
          <w:szCs w:val="24"/>
          <w:lang w:val="en-US" w:eastAsia="zh-CN"/>
        </w:rPr>
        <w:t>报价单</w:t>
      </w:r>
    </w:p>
    <w:p>
      <w:pPr>
        <w:numPr>
          <w:numId w:val="0"/>
        </w:numPr>
        <w:spacing w:line="240" w:lineRule="auto"/>
        <w:rPr>
          <w:rFonts w:hint="eastAsia"/>
          <w:b/>
          <w:color w:val="auto"/>
          <w:sz w:val="24"/>
          <w:szCs w:val="24"/>
          <w:lang w:val="en-US" w:eastAsia="zh-CN"/>
        </w:rPr>
      </w:pPr>
    </w:p>
    <w:p>
      <w:pPr>
        <w:keepNext w:val="0"/>
        <w:keepLines w:val="0"/>
        <w:pageBreakBefore w:val="0"/>
        <w:kinsoku/>
        <w:wordWrap/>
        <w:overflowPunct/>
        <w:topLinePunct w:val="0"/>
        <w:autoSpaceDE/>
        <w:bidi w:val="0"/>
        <w:snapToGrid/>
        <w:spacing w:line="360" w:lineRule="auto"/>
        <w:jc w:val="center"/>
        <w:rPr>
          <w:rFonts w:hint="eastAsia" w:ascii="宋体" w:hAnsi="宋体"/>
          <w:b/>
          <w:bCs w:val="0"/>
          <w:sz w:val="36"/>
          <w:szCs w:val="36"/>
        </w:rPr>
      </w:pPr>
      <w:r>
        <w:rPr>
          <w:rFonts w:hint="eastAsia" w:ascii="宋体" w:hAnsi="宋体"/>
          <w:b/>
          <w:bCs w:val="0"/>
          <w:sz w:val="36"/>
          <w:szCs w:val="36"/>
        </w:rPr>
        <w:t>报</w:t>
      </w:r>
      <w:r>
        <w:rPr>
          <w:rFonts w:hint="eastAsia" w:ascii="宋体" w:hAnsi="宋体"/>
          <w:b/>
          <w:bCs w:val="0"/>
          <w:sz w:val="36"/>
          <w:szCs w:val="36"/>
          <w:lang w:val="en-US" w:eastAsia="zh-CN"/>
        </w:rPr>
        <w:t xml:space="preserve"> </w:t>
      </w:r>
      <w:r>
        <w:rPr>
          <w:rFonts w:hint="eastAsia" w:ascii="宋体" w:hAnsi="宋体"/>
          <w:b/>
          <w:bCs w:val="0"/>
          <w:sz w:val="36"/>
          <w:szCs w:val="36"/>
        </w:rPr>
        <w:t>价</w:t>
      </w:r>
      <w:r>
        <w:rPr>
          <w:rFonts w:hint="eastAsia" w:ascii="宋体" w:hAnsi="宋体"/>
          <w:b/>
          <w:bCs w:val="0"/>
          <w:sz w:val="36"/>
          <w:szCs w:val="36"/>
          <w:lang w:val="en-US" w:eastAsia="zh-CN"/>
        </w:rPr>
        <w:t xml:space="preserve"> </w:t>
      </w:r>
      <w:r>
        <w:rPr>
          <w:rFonts w:hint="eastAsia" w:ascii="宋体" w:hAnsi="宋体"/>
          <w:b/>
          <w:bCs w:val="0"/>
          <w:sz w:val="36"/>
          <w:szCs w:val="36"/>
        </w:rPr>
        <w:t>表</w:t>
      </w:r>
    </w:p>
    <w:tbl>
      <w:tblPr>
        <w:tblStyle w:val="6"/>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3696"/>
        <w:gridCol w:w="1874"/>
        <w:gridCol w:w="1875"/>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52" w:hRule="atLeast"/>
        </w:trPr>
        <w:tc>
          <w:tcPr>
            <w:tcW w:w="3696" w:type="dxa"/>
            <w:tcBorders>
              <w:tl2br w:val="nil"/>
              <w:tr2bl w:val="nil"/>
            </w:tcBorders>
            <w:noWrap w:val="0"/>
            <w:vAlign w:val="center"/>
          </w:tcPr>
          <w:p>
            <w:pPr>
              <w:jc w:val="center"/>
              <w:rPr>
                <w:rFonts w:hint="default" w:ascii="宋体" w:hAnsi="宋体" w:eastAsia="宋体"/>
                <w:b/>
                <w:bCs w:val="0"/>
                <w:i w:val="0"/>
                <w:snapToGrid/>
                <w:color w:val="000000"/>
                <w:sz w:val="24"/>
                <w:szCs w:val="24"/>
                <w:u w:val="none"/>
                <w:lang w:eastAsia="zh-CN"/>
              </w:rPr>
            </w:pPr>
            <w:r>
              <w:rPr>
                <w:rFonts w:hint="eastAsia" w:eastAsia="宋体"/>
                <w:b/>
                <w:sz w:val="24"/>
                <w:szCs w:val="24"/>
                <w:lang w:eastAsia="zh-CN"/>
              </w:rPr>
              <w:t>运输线路</w:t>
            </w:r>
          </w:p>
        </w:tc>
        <w:tc>
          <w:tcPr>
            <w:tcW w:w="1874" w:type="dxa"/>
            <w:tcBorders>
              <w:tl2br w:val="nil"/>
              <w:tr2bl w:val="nil"/>
            </w:tcBorders>
            <w:noWrap w:val="0"/>
            <w:vAlign w:val="center"/>
          </w:tcPr>
          <w:p>
            <w:pPr>
              <w:jc w:val="center"/>
              <w:rPr>
                <w:rFonts w:hint="default" w:ascii="宋体" w:hAnsi="宋体" w:eastAsia="宋体"/>
                <w:b/>
                <w:bCs w:val="0"/>
                <w:i w:val="0"/>
                <w:snapToGrid/>
                <w:color w:val="000000"/>
                <w:sz w:val="24"/>
                <w:szCs w:val="24"/>
                <w:u w:val="none"/>
                <w:lang w:eastAsia="zh-CN"/>
              </w:rPr>
            </w:pPr>
            <w:r>
              <w:rPr>
                <w:rFonts w:hint="eastAsia"/>
                <w:b/>
                <w:sz w:val="24"/>
                <w:szCs w:val="24"/>
                <w:lang w:eastAsia="zh-CN"/>
              </w:rPr>
              <w:t>货物名称</w:t>
            </w:r>
          </w:p>
        </w:tc>
        <w:tc>
          <w:tcPr>
            <w:tcW w:w="1875" w:type="dxa"/>
            <w:tcBorders>
              <w:tl2br w:val="nil"/>
              <w:tr2bl w:val="nil"/>
            </w:tcBorders>
            <w:noWrap w:val="0"/>
            <w:vAlign w:val="center"/>
          </w:tcPr>
          <w:p>
            <w:pPr>
              <w:jc w:val="center"/>
              <w:rPr>
                <w:rFonts w:hint="default" w:ascii="宋体" w:hAnsi="宋体" w:eastAsia="宋体"/>
                <w:b/>
                <w:bCs w:val="0"/>
                <w:i w:val="0"/>
                <w:snapToGrid/>
                <w:color w:val="000000"/>
                <w:sz w:val="24"/>
                <w:szCs w:val="24"/>
                <w:u w:val="none"/>
                <w:lang w:eastAsia="zh-CN"/>
              </w:rPr>
            </w:pPr>
            <w:r>
              <w:rPr>
                <w:rFonts w:hint="eastAsia" w:ascii="宋体" w:hAnsi="宋体"/>
                <w:b/>
                <w:bCs w:val="0"/>
                <w:i w:val="0"/>
                <w:snapToGrid/>
                <w:color w:val="000000"/>
                <w:sz w:val="24"/>
                <w:szCs w:val="24"/>
                <w:u w:val="none"/>
                <w:lang w:eastAsia="zh-CN"/>
              </w:rPr>
              <w:t>运输</w:t>
            </w:r>
            <w:r>
              <w:rPr>
                <w:rFonts w:hint="eastAsia" w:ascii="宋体" w:hAnsi="宋体" w:eastAsia="宋体"/>
                <w:b/>
                <w:bCs w:val="0"/>
                <w:i w:val="0"/>
                <w:snapToGrid/>
                <w:color w:val="000000"/>
                <w:sz w:val="24"/>
                <w:szCs w:val="24"/>
                <w:u w:val="none"/>
                <w:lang w:eastAsia="zh-CN"/>
              </w:rPr>
              <w:t>车型</w:t>
            </w:r>
          </w:p>
        </w:tc>
        <w:tc>
          <w:tcPr>
            <w:tcW w:w="1875" w:type="dxa"/>
            <w:tcBorders>
              <w:tl2br w:val="nil"/>
              <w:tr2bl w:val="nil"/>
            </w:tcBorders>
            <w:noWrap w:val="0"/>
            <w:vAlign w:val="center"/>
          </w:tcPr>
          <w:p>
            <w:pPr>
              <w:jc w:val="center"/>
              <w:rPr>
                <w:rFonts w:hint="eastAsia" w:ascii="宋体" w:hAnsi="宋体" w:eastAsia="宋体"/>
                <w:b/>
                <w:bCs w:val="0"/>
                <w:i w:val="0"/>
                <w:snapToGrid/>
                <w:color w:val="000000"/>
                <w:sz w:val="24"/>
                <w:szCs w:val="24"/>
                <w:u w:val="none"/>
                <w:lang w:eastAsia="zh-CN"/>
              </w:rPr>
            </w:pPr>
            <w:r>
              <w:rPr>
                <w:rFonts w:hint="eastAsia" w:ascii="宋体" w:hAnsi="宋体"/>
                <w:b/>
                <w:bCs w:val="0"/>
                <w:i w:val="0"/>
                <w:snapToGrid/>
                <w:color w:val="000000"/>
                <w:sz w:val="24"/>
                <w:szCs w:val="24"/>
                <w:u w:val="none"/>
                <w:lang w:eastAsia="zh-CN"/>
              </w:rPr>
              <w:t>运输</w:t>
            </w:r>
            <w:r>
              <w:rPr>
                <w:rFonts w:hint="eastAsia" w:ascii="宋体" w:hAnsi="宋体" w:eastAsia="宋体"/>
                <w:b/>
                <w:bCs w:val="0"/>
                <w:i w:val="0"/>
                <w:snapToGrid/>
                <w:color w:val="000000"/>
                <w:sz w:val="24"/>
                <w:szCs w:val="24"/>
                <w:u w:val="none"/>
                <w:lang w:eastAsia="zh-CN"/>
              </w:rPr>
              <w:t>单价</w:t>
            </w:r>
          </w:p>
          <w:p>
            <w:pPr>
              <w:jc w:val="center"/>
              <w:rPr>
                <w:rFonts w:hint="default" w:ascii="宋体" w:hAnsi="宋体" w:eastAsia="宋体"/>
                <w:b/>
                <w:bCs w:val="0"/>
                <w:i w:val="0"/>
                <w:snapToGrid/>
                <w:color w:val="000000"/>
                <w:sz w:val="24"/>
                <w:szCs w:val="24"/>
                <w:u w:val="none"/>
                <w:lang w:eastAsia="zh-CN"/>
              </w:rPr>
            </w:pPr>
            <w:r>
              <w:rPr>
                <w:rFonts w:hint="eastAsia" w:ascii="宋体" w:hAnsi="宋体" w:eastAsia="宋体"/>
                <w:b/>
                <w:bCs w:val="0"/>
                <w:i w:val="0"/>
                <w:snapToGrid/>
                <w:color w:val="000000"/>
                <w:sz w:val="24"/>
                <w:szCs w:val="24"/>
                <w:u w:val="none"/>
                <w:lang w:eastAsia="zh-CN"/>
              </w:rPr>
              <w:t>（元</w:t>
            </w:r>
            <w:r>
              <w:rPr>
                <w:rFonts w:hint="eastAsia" w:ascii="宋体" w:hAnsi="宋体" w:eastAsia="宋体"/>
                <w:b/>
                <w:bCs w:val="0"/>
                <w:i w:val="0"/>
                <w:snapToGrid/>
                <w:color w:val="000000"/>
                <w:sz w:val="24"/>
                <w:szCs w:val="24"/>
                <w:u w:val="none"/>
                <w:lang w:val="en-US" w:eastAsia="zh-CN"/>
              </w:rPr>
              <w:t>/吨</w:t>
            </w:r>
            <w:r>
              <w:rPr>
                <w:rFonts w:hint="eastAsia" w:ascii="宋体" w:hAnsi="宋体" w:eastAsia="宋体"/>
                <w:b/>
                <w:bCs w:val="0"/>
                <w:i w:val="0"/>
                <w:snapToGrid/>
                <w:color w:val="000000"/>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397" w:hRule="atLeast"/>
        </w:trPr>
        <w:tc>
          <w:tcPr>
            <w:tcW w:w="3696"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napToGrid/>
              <w:spacing w:line="360" w:lineRule="auto"/>
              <w:jc w:val="center"/>
              <w:textAlignment w:val="center"/>
              <w:rPr>
                <w:rFonts w:hint="eastAsia" w:ascii="宋体" w:hAnsi="宋体"/>
                <w:b/>
                <w:bCs w:val="0"/>
                <w:i w:val="0"/>
                <w:snapToGrid/>
                <w:color w:val="000000"/>
                <w:sz w:val="24"/>
                <w:szCs w:val="24"/>
                <w:u w:val="none"/>
                <w:lang w:val="en-US" w:eastAsia="zh-CN"/>
              </w:rPr>
            </w:pPr>
            <w:r>
              <w:rPr>
                <w:rFonts w:hint="eastAsia" w:ascii="宋体" w:hAnsi="宋体" w:cs="宋体"/>
                <w:b/>
                <w:bCs/>
                <w:color w:val="auto"/>
                <w:sz w:val="24"/>
                <w:szCs w:val="24"/>
                <w:u w:val="none" w:color="auto"/>
                <w:lang w:eastAsia="zh-CN"/>
              </w:rPr>
              <w:t>芜</w:t>
            </w:r>
            <w:r>
              <w:rPr>
                <w:rFonts w:hint="eastAsia" w:ascii="宋体" w:hAnsi="宋体"/>
                <w:b/>
                <w:bCs w:val="0"/>
                <w:i w:val="0"/>
                <w:snapToGrid/>
                <w:color w:val="000000"/>
                <w:sz w:val="24"/>
                <w:szCs w:val="24"/>
                <w:u w:val="none"/>
                <w:lang w:eastAsia="zh-CN"/>
              </w:rPr>
              <w:t>湖海螺水泥公司库山村采石场—芜湖新兴搅拌站</w:t>
            </w:r>
          </w:p>
          <w:p>
            <w:pPr>
              <w:keepNext w:val="0"/>
              <w:keepLines w:val="0"/>
              <w:pageBreakBefore w:val="0"/>
              <w:widowControl/>
              <w:suppressLineNumbers w:val="0"/>
              <w:kinsoku/>
              <w:wordWrap/>
              <w:overflowPunct/>
              <w:topLinePunct w:val="0"/>
              <w:autoSpaceDE/>
              <w:bidi w:val="0"/>
              <w:snapToGrid/>
              <w:spacing w:line="360" w:lineRule="auto"/>
              <w:jc w:val="center"/>
              <w:textAlignment w:val="center"/>
              <w:rPr>
                <w:rFonts w:hint="default" w:ascii="宋体" w:hAnsi="宋体" w:eastAsia="宋体"/>
                <w:b/>
                <w:bCs w:val="0"/>
                <w:i w:val="0"/>
                <w:snapToGrid/>
                <w:color w:val="000000"/>
                <w:sz w:val="24"/>
                <w:szCs w:val="24"/>
                <w:u w:val="none"/>
                <w:lang w:eastAsia="zh-CN"/>
              </w:rPr>
            </w:pPr>
          </w:p>
        </w:tc>
        <w:tc>
          <w:tcPr>
            <w:tcW w:w="187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napToGrid/>
              <w:spacing w:line="360" w:lineRule="auto"/>
              <w:jc w:val="center"/>
              <w:textAlignment w:val="center"/>
              <w:rPr>
                <w:rFonts w:hint="default" w:ascii="宋体" w:hAnsi="宋体" w:eastAsia="宋体"/>
                <w:b/>
                <w:bCs w:val="0"/>
                <w:i w:val="0"/>
                <w:snapToGrid/>
                <w:color w:val="000000"/>
                <w:sz w:val="24"/>
                <w:szCs w:val="24"/>
                <w:u w:val="none"/>
                <w:lang w:eastAsia="zh-CN"/>
              </w:rPr>
            </w:pPr>
            <w:r>
              <w:rPr>
                <w:rFonts w:hint="eastAsia" w:ascii="宋体" w:hAnsi="宋体"/>
                <w:b/>
                <w:bCs w:val="0"/>
                <w:i w:val="0"/>
                <w:snapToGrid/>
                <w:color w:val="000000"/>
                <w:sz w:val="24"/>
                <w:szCs w:val="24"/>
                <w:u w:val="none"/>
                <w:lang w:eastAsia="zh-CN"/>
              </w:rPr>
              <w:t>分子、瓜子片</w:t>
            </w:r>
          </w:p>
        </w:tc>
        <w:tc>
          <w:tcPr>
            <w:tcW w:w="1875" w:type="dxa"/>
            <w:tcBorders>
              <w:tl2br w:val="nil"/>
              <w:tr2bl w:val="nil"/>
            </w:tcBorders>
            <w:noWrap w:val="0"/>
            <w:vAlign w:val="center"/>
          </w:tcPr>
          <w:p>
            <w:pPr>
              <w:jc w:val="center"/>
              <w:rPr>
                <w:rFonts w:hint="default" w:ascii="宋体" w:hAnsi="宋体" w:eastAsia="宋体"/>
                <w:b/>
                <w:bCs w:val="0"/>
                <w:i w:val="0"/>
                <w:snapToGrid/>
                <w:color w:val="000000"/>
                <w:sz w:val="24"/>
                <w:szCs w:val="24"/>
                <w:u w:val="none"/>
                <w:lang w:val="en-US" w:eastAsia="zh-CN"/>
              </w:rPr>
            </w:pPr>
            <w:r>
              <w:rPr>
                <w:rFonts w:hint="eastAsia" w:ascii="宋体" w:hAnsi="宋体"/>
                <w:b/>
                <w:bCs w:val="0"/>
                <w:i w:val="0"/>
                <w:snapToGrid/>
                <w:color w:val="000000"/>
                <w:sz w:val="24"/>
                <w:szCs w:val="24"/>
                <w:u w:val="none"/>
                <w:lang w:val="en-US" w:eastAsia="zh-CN"/>
              </w:rPr>
              <w:t>自卸车</w:t>
            </w:r>
          </w:p>
        </w:tc>
        <w:tc>
          <w:tcPr>
            <w:tcW w:w="1875" w:type="dxa"/>
            <w:tcBorders>
              <w:tl2br w:val="nil"/>
              <w:tr2bl w:val="nil"/>
            </w:tcBorders>
            <w:noWrap w:val="0"/>
            <w:vAlign w:val="center"/>
          </w:tcPr>
          <w:p>
            <w:pPr>
              <w:jc w:val="center"/>
              <w:rPr>
                <w:rFonts w:hint="default" w:ascii="宋体" w:hAnsi="宋体" w:eastAsia="宋体"/>
                <w:b/>
                <w:bCs w:val="0"/>
                <w:i w:val="0"/>
                <w:snapToGrid/>
                <w:color w:val="000000"/>
                <w:sz w:val="24"/>
                <w:szCs w:val="24"/>
                <w:u w:val="none"/>
                <w:lang w:eastAsia="zh-CN"/>
              </w:rPr>
            </w:pPr>
          </w:p>
        </w:tc>
      </w:tr>
    </w:tbl>
    <w:p>
      <w:pPr>
        <w:keepNext w:val="0"/>
        <w:keepLines w:val="0"/>
        <w:pageBreakBefore w:val="0"/>
        <w:widowControl w:val="0"/>
        <w:kinsoku/>
        <w:wordWrap/>
        <w:overflowPunct/>
        <w:topLinePunct w:val="0"/>
        <w:autoSpaceDE/>
        <w:autoSpaceDN/>
        <w:bidi w:val="0"/>
        <w:adjustRightInd w:val="0"/>
        <w:snapToGrid/>
        <w:spacing w:line="360" w:lineRule="auto"/>
        <w:ind w:right="0" w:rightChars="0"/>
        <w:jc w:val="both"/>
        <w:textAlignment w:val="auto"/>
        <w:outlineLvl w:val="9"/>
        <w:rPr>
          <w:rFonts w:hint="eastAsia" w:ascii="宋体" w:hAnsi="宋体"/>
          <w:b w:val="0"/>
          <w:bCs/>
          <w:sz w:val="24"/>
          <w:szCs w:val="24"/>
          <w:lang w:val="en-US" w:eastAsia="zh-CN"/>
        </w:rPr>
      </w:pPr>
      <w:r>
        <w:rPr>
          <w:rFonts w:hint="eastAsia" w:ascii="宋体" w:hAnsi="宋体" w:eastAsia="宋体"/>
          <w:b/>
          <w:bCs w:val="0"/>
          <w:i w:val="0"/>
          <w:snapToGrid/>
          <w:color w:val="000000"/>
          <w:sz w:val="24"/>
          <w:szCs w:val="24"/>
          <w:u w:val="none"/>
          <w:lang w:eastAsia="zh-CN"/>
        </w:rPr>
        <w:t>备注</w:t>
      </w:r>
      <w:r>
        <w:rPr>
          <w:rFonts w:hint="eastAsia" w:ascii="宋体" w:hAnsi="宋体"/>
          <w:b/>
          <w:bCs w:val="0"/>
          <w:i w:val="0"/>
          <w:snapToGrid/>
          <w:color w:val="000000"/>
          <w:sz w:val="24"/>
          <w:szCs w:val="24"/>
          <w:u w:val="none"/>
          <w:lang w:eastAsia="zh-CN"/>
        </w:rPr>
        <w:t>：</w:t>
      </w:r>
      <w:r>
        <w:rPr>
          <w:rFonts w:hint="eastAsia" w:ascii="宋体" w:hAnsi="宋体"/>
          <w:b/>
          <w:bCs w:val="0"/>
          <w:color w:val="auto"/>
          <w:sz w:val="24"/>
          <w:szCs w:val="24"/>
          <w:u w:val="none" w:color="auto"/>
          <w:lang w:eastAsia="zh-CN"/>
        </w:rPr>
        <w:t>投标报价</w:t>
      </w:r>
      <w:r>
        <w:rPr>
          <w:rFonts w:hint="eastAsia" w:ascii="宋体" w:hAnsi="宋体"/>
          <w:b/>
          <w:bCs w:val="0"/>
          <w:color w:val="auto"/>
          <w:sz w:val="24"/>
          <w:szCs w:val="24"/>
          <w:u w:val="none" w:color="auto"/>
        </w:rPr>
        <w:t>含税（税率</w:t>
      </w:r>
      <w:r>
        <w:rPr>
          <w:rFonts w:hint="eastAsia" w:ascii="宋体" w:hAnsi="宋体"/>
          <w:b/>
          <w:bCs w:val="0"/>
          <w:color w:val="auto"/>
          <w:sz w:val="28"/>
          <w:szCs w:val="28"/>
          <w:u w:val="single" w:color="auto"/>
        </w:rPr>
        <w:t>9%</w:t>
      </w:r>
      <w:r>
        <w:rPr>
          <w:rFonts w:hint="eastAsia" w:ascii="宋体" w:hAnsi="宋体"/>
          <w:b/>
          <w:bCs w:val="0"/>
          <w:color w:val="auto"/>
          <w:sz w:val="28"/>
          <w:szCs w:val="28"/>
          <w:u w:val="none" w:color="auto"/>
        </w:rPr>
        <w:t>）</w:t>
      </w:r>
      <w:r>
        <w:rPr>
          <w:rFonts w:hint="eastAsia" w:ascii="宋体" w:hAnsi="宋体"/>
          <w:b/>
          <w:bCs w:val="0"/>
          <w:color w:val="auto"/>
          <w:sz w:val="24"/>
          <w:szCs w:val="24"/>
          <w:u w:val="none" w:color="auto"/>
        </w:rPr>
        <w:t>、保险费、杂费等</w:t>
      </w:r>
      <w:r>
        <w:rPr>
          <w:rFonts w:hint="eastAsia" w:ascii="宋体" w:hAnsi="宋体"/>
          <w:b/>
          <w:bCs w:val="0"/>
          <w:color w:val="auto"/>
          <w:sz w:val="24"/>
          <w:szCs w:val="24"/>
          <w:u w:val="none" w:color="auto"/>
          <w:lang w:eastAsia="zh-CN"/>
        </w:rPr>
        <w:t>各</w:t>
      </w:r>
      <w:r>
        <w:rPr>
          <w:rFonts w:hint="eastAsia" w:ascii="宋体" w:hAnsi="宋体"/>
          <w:b/>
          <w:bCs w:val="0"/>
          <w:color w:val="auto"/>
          <w:sz w:val="24"/>
          <w:szCs w:val="24"/>
          <w:u w:val="none" w:color="auto"/>
        </w:rPr>
        <w:t>项费用</w:t>
      </w:r>
      <w:r>
        <w:rPr>
          <w:rFonts w:hint="eastAsia" w:ascii="宋体" w:hAnsi="宋体"/>
          <w:b/>
          <w:bCs w:val="0"/>
          <w:color w:val="auto"/>
          <w:sz w:val="24"/>
          <w:szCs w:val="24"/>
          <w:u w:val="none" w:color="auto"/>
          <w:lang w:eastAsia="zh-CN"/>
        </w:rPr>
        <w:t>。</w:t>
      </w:r>
      <w:r>
        <w:rPr>
          <w:rFonts w:hint="eastAsia" w:ascii="宋体" w:hAnsi="宋体"/>
          <w:b w:val="0"/>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left="-1200" w:leftChars="-500" w:right="0" w:rightChars="0" w:firstLine="240" w:firstLineChars="100"/>
        <w:jc w:val="left"/>
        <w:textAlignment w:val="auto"/>
        <w:outlineLvl w:val="9"/>
        <w:rPr>
          <w:rFonts w:hint="eastAsia" w:ascii="宋体" w:hAnsi="宋体"/>
          <w:b w:val="0"/>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left="-1200" w:leftChars="-500" w:right="0" w:rightChars="0" w:firstLine="241" w:firstLineChars="100"/>
        <w:jc w:val="center"/>
        <w:textAlignment w:val="auto"/>
        <w:outlineLvl w:val="9"/>
        <w:rPr>
          <w:rFonts w:hint="eastAsia" w:ascii="宋体" w:hAnsi="宋体"/>
          <w:b/>
          <w:bCs w:val="0"/>
          <w:sz w:val="24"/>
          <w:szCs w:val="24"/>
          <w:lang w:val="en-US" w:eastAsia="zh-CN"/>
        </w:rPr>
      </w:pPr>
      <w:r>
        <w:rPr>
          <w:rFonts w:hint="eastAsia" w:ascii="宋体" w:hAnsi="宋体"/>
          <w:b/>
          <w:bCs w:val="0"/>
          <w:sz w:val="24"/>
          <w:szCs w:val="24"/>
          <w:lang w:val="en-US" w:eastAsia="zh-CN"/>
        </w:rPr>
        <w:t>请慎重报价！</w:t>
      </w:r>
    </w:p>
    <w:p>
      <w:pPr>
        <w:jc w:val="center"/>
        <w:rPr>
          <w:rFonts w:hint="eastAsia" w:ascii="宋体" w:hAnsi="宋体"/>
          <w:b w:val="0"/>
          <w:bCs/>
          <w:sz w:val="24"/>
          <w:szCs w:val="24"/>
          <w:lang w:val="en-US" w:eastAsia="zh-CN"/>
        </w:rPr>
      </w:pPr>
    </w:p>
    <w:p>
      <w:pPr>
        <w:jc w:val="center"/>
        <w:rPr>
          <w:rFonts w:hint="eastAsia" w:ascii="宋体" w:hAnsi="宋体"/>
          <w:b w:val="0"/>
          <w:bCs/>
          <w:sz w:val="24"/>
          <w:szCs w:val="24"/>
          <w:lang w:val="en-US" w:eastAsia="zh-CN"/>
        </w:rPr>
      </w:pPr>
    </w:p>
    <w:p>
      <w:pPr>
        <w:jc w:val="center"/>
        <w:rPr>
          <w:rFonts w:hint="eastAsia" w:ascii="宋体" w:hAnsi="宋体"/>
          <w:b w:val="0"/>
          <w:bCs/>
          <w:sz w:val="24"/>
          <w:szCs w:val="24"/>
          <w:lang w:val="en-US" w:eastAsia="zh-CN"/>
        </w:rPr>
      </w:pPr>
    </w:p>
    <w:p>
      <w:pPr>
        <w:jc w:val="center"/>
        <w:rPr>
          <w:rFonts w:hint="eastAsia" w:ascii="宋体" w:hAnsi="宋体"/>
          <w:b w:val="0"/>
          <w:bCs/>
          <w:sz w:val="24"/>
          <w:szCs w:val="24"/>
          <w:lang w:val="en-US" w:eastAsia="zh-CN"/>
        </w:rPr>
      </w:pPr>
    </w:p>
    <w:p>
      <w:pPr>
        <w:jc w:val="center"/>
        <w:rPr>
          <w:rFonts w:hint="eastAsia" w:ascii="宋体" w:hAnsi="宋体"/>
          <w:b w:val="0"/>
          <w:bCs/>
          <w:sz w:val="24"/>
          <w:szCs w:val="24"/>
          <w:lang w:val="en-US" w:eastAsia="zh-CN"/>
        </w:rPr>
      </w:pPr>
    </w:p>
    <w:p>
      <w:pPr>
        <w:jc w:val="center"/>
        <w:rPr>
          <w:rFonts w:hint="eastAsia"/>
          <w:b/>
          <w:bCs/>
          <w:sz w:val="24"/>
          <w:szCs w:val="24"/>
          <w:lang w:val="en-US" w:eastAsia="zh-CN"/>
        </w:rPr>
      </w:pPr>
      <w:r>
        <w:rPr>
          <w:rFonts w:hint="eastAsia" w:ascii="宋体" w:hAnsi="宋体"/>
          <w:b w:val="0"/>
          <w:bCs/>
          <w:sz w:val="24"/>
          <w:szCs w:val="24"/>
          <w:lang w:val="en-US" w:eastAsia="zh-CN"/>
        </w:rPr>
        <w:t xml:space="preserve">                  </w:t>
      </w:r>
    </w:p>
    <w:p>
      <w:pPr>
        <w:jc w:val="center"/>
        <w:rPr>
          <w:rFonts w:hint="default" w:eastAsia="宋体"/>
          <w:b/>
          <w:bCs/>
          <w:sz w:val="24"/>
          <w:szCs w:val="24"/>
          <w:u w:val="single"/>
          <w:lang w:val="en-US" w:eastAsia="zh-CN"/>
        </w:rPr>
      </w:pPr>
      <w:r>
        <w:rPr>
          <w:rFonts w:hint="eastAsia"/>
          <w:b/>
          <w:bCs/>
          <w:sz w:val="24"/>
          <w:szCs w:val="24"/>
          <w:lang w:val="en-US" w:eastAsia="zh-CN"/>
        </w:rPr>
        <w:t xml:space="preserve"> </w:t>
      </w:r>
      <w:r>
        <w:rPr>
          <w:rFonts w:hint="eastAsia"/>
          <w:b/>
          <w:bCs/>
          <w:sz w:val="24"/>
          <w:szCs w:val="24"/>
        </w:rPr>
        <w:t>报价单位（加盖公章）：</w:t>
      </w:r>
      <w:r>
        <w:rPr>
          <w:rFonts w:hint="eastAsia"/>
          <w:b/>
          <w:bCs/>
          <w:sz w:val="24"/>
          <w:szCs w:val="24"/>
          <w:u w:val="single"/>
          <w:lang w:val="en-US" w:eastAsia="zh-CN"/>
        </w:rPr>
        <w:t xml:space="preserve">                           </w:t>
      </w:r>
    </w:p>
    <w:p>
      <w:pPr>
        <w:ind w:firstLine="1687" w:firstLineChars="700"/>
        <w:jc w:val="both"/>
        <w:rPr>
          <w:rFonts w:hint="eastAsia"/>
          <w:b/>
          <w:bCs/>
          <w:sz w:val="24"/>
          <w:szCs w:val="24"/>
        </w:rPr>
      </w:pPr>
    </w:p>
    <w:p>
      <w:pPr>
        <w:ind w:firstLine="3373" w:firstLineChars="1400"/>
        <w:jc w:val="both"/>
        <w:rPr>
          <w:rFonts w:hint="default" w:eastAsia="宋体"/>
          <w:b/>
          <w:bCs/>
          <w:sz w:val="24"/>
          <w:szCs w:val="24"/>
          <w:u w:val="single"/>
          <w:lang w:val="en-US" w:eastAsia="zh-CN"/>
        </w:rPr>
      </w:pPr>
      <w:r>
        <w:rPr>
          <w:rFonts w:hint="eastAsia"/>
          <w:b/>
          <w:bCs/>
          <w:sz w:val="24"/>
          <w:szCs w:val="24"/>
        </w:rPr>
        <w:t>法人</w:t>
      </w:r>
      <w:r>
        <w:rPr>
          <w:rFonts w:hint="eastAsia"/>
          <w:b/>
          <w:bCs/>
          <w:sz w:val="24"/>
          <w:szCs w:val="24"/>
          <w:lang w:eastAsia="zh-CN"/>
        </w:rPr>
        <w:t>代表</w:t>
      </w:r>
      <w:r>
        <w:rPr>
          <w:rFonts w:hint="eastAsia"/>
          <w:b/>
          <w:bCs/>
          <w:sz w:val="24"/>
          <w:szCs w:val="24"/>
        </w:rPr>
        <w:t>或授权代理人（签字）：</w:t>
      </w:r>
      <w:r>
        <w:rPr>
          <w:rFonts w:hint="eastAsia"/>
          <w:b/>
          <w:bCs/>
          <w:sz w:val="24"/>
          <w:szCs w:val="24"/>
          <w:u w:val="single"/>
          <w:lang w:val="en-US" w:eastAsia="zh-CN"/>
        </w:rPr>
        <w:t xml:space="preserve">                        </w:t>
      </w:r>
    </w:p>
    <w:p>
      <w:pPr>
        <w:jc w:val="center"/>
        <w:rPr>
          <w:rFonts w:hint="eastAsia"/>
          <w:b/>
          <w:bCs/>
          <w:sz w:val="24"/>
          <w:szCs w:val="24"/>
          <w:lang w:val="en-US" w:eastAsia="zh-CN"/>
        </w:rPr>
      </w:pPr>
      <w:r>
        <w:rPr>
          <w:rFonts w:hint="eastAsia"/>
          <w:b/>
          <w:bCs/>
          <w:sz w:val="24"/>
          <w:szCs w:val="24"/>
          <w:lang w:val="en-US" w:eastAsia="zh-CN"/>
        </w:rPr>
        <w:t xml:space="preserve">          </w:t>
      </w:r>
    </w:p>
    <w:p>
      <w:pPr>
        <w:jc w:val="center"/>
        <w:rPr>
          <w:rFonts w:hint="eastAsia" w:ascii="宋体" w:hAnsi="宋体" w:eastAsia="宋体"/>
          <w:b/>
          <w:bCs/>
          <w:sz w:val="24"/>
          <w:szCs w:val="24"/>
          <w:lang w:val="en-US" w:eastAsia="zh-CN"/>
        </w:rPr>
      </w:pPr>
      <w:r>
        <w:rPr>
          <w:rFonts w:hint="eastAsia"/>
          <w:b/>
          <w:bCs/>
          <w:sz w:val="24"/>
          <w:szCs w:val="24"/>
          <w:lang w:val="en-US" w:eastAsia="zh-CN"/>
        </w:rPr>
        <w:t xml:space="preserve">                  报价</w:t>
      </w:r>
      <w:r>
        <w:rPr>
          <w:rFonts w:hint="eastAsia"/>
          <w:b/>
          <w:bCs/>
          <w:sz w:val="24"/>
          <w:szCs w:val="24"/>
        </w:rPr>
        <w:t>日期：</w:t>
      </w:r>
      <w:r>
        <w:rPr>
          <w:rFonts w:hint="eastAsia"/>
          <w:b/>
          <w:bCs/>
          <w:sz w:val="24"/>
          <w:szCs w:val="24"/>
          <w:u w:val="single"/>
          <w:lang w:val="en-US" w:eastAsia="zh-CN"/>
        </w:rPr>
        <w:t xml:space="preserve">                       </w:t>
      </w: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jc w:val="right"/>
        <w:rPr>
          <w:rFonts w:hint="eastAsia" w:ascii="宋体" w:hAnsi="宋体"/>
          <w:b/>
          <w:color w:val="auto"/>
          <w:sz w:val="28"/>
          <w:szCs w:val="28"/>
        </w:rPr>
      </w:pPr>
    </w:p>
    <w:p>
      <w:pPr>
        <w:spacing w:line="240" w:lineRule="auto"/>
        <w:jc w:val="right"/>
        <w:rPr>
          <w:rFonts w:hint="eastAsia" w:ascii="宋体" w:hAnsi="宋体"/>
          <w:b/>
          <w:color w:val="auto"/>
          <w:sz w:val="28"/>
          <w:szCs w:val="28"/>
        </w:rPr>
      </w:pPr>
    </w:p>
    <w:p>
      <w:pPr>
        <w:spacing w:line="240" w:lineRule="auto"/>
        <w:jc w:val="right"/>
        <w:rPr>
          <w:rFonts w:hint="eastAsia" w:ascii="宋体" w:hAnsi="宋体"/>
          <w:b/>
          <w:color w:val="auto"/>
          <w:sz w:val="28"/>
          <w:szCs w:val="28"/>
        </w:rPr>
      </w:pPr>
    </w:p>
    <w:p>
      <w:pPr>
        <w:spacing w:line="240" w:lineRule="auto"/>
        <w:jc w:val="right"/>
        <w:rPr>
          <w:rFonts w:hint="eastAsia" w:ascii="宋体" w:hAnsi="宋体"/>
          <w:b/>
          <w:color w:val="auto"/>
          <w:sz w:val="28"/>
          <w:szCs w:val="28"/>
        </w:rPr>
      </w:pPr>
    </w:p>
    <w:p>
      <w:pPr>
        <w:spacing w:line="240" w:lineRule="auto"/>
        <w:jc w:val="right"/>
        <w:rPr>
          <w:rFonts w:hint="eastAsia" w:ascii="宋体" w:hAnsi="宋体"/>
          <w:b/>
          <w:color w:val="auto"/>
          <w:sz w:val="28"/>
          <w:szCs w:val="28"/>
          <w:lang w:val="en-US" w:eastAsia="zh-CN"/>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p>
    <w:p>
      <w:pPr>
        <w:spacing w:line="240" w:lineRule="auto"/>
        <w:jc w:val="right"/>
        <w:rPr>
          <w:rFonts w:hint="eastAsia" w:ascii="宋体" w:hAnsi="宋体"/>
          <w:b/>
          <w:color w:val="auto"/>
          <w:sz w:val="28"/>
          <w:szCs w:val="28"/>
        </w:rPr>
      </w:pPr>
      <w:r>
        <w:rPr>
          <w:rFonts w:hint="eastAsia" w:ascii="宋体" w:hAnsi="宋体"/>
          <w:b/>
          <w:color w:val="auto"/>
          <w:sz w:val="28"/>
          <w:szCs w:val="28"/>
        </w:rPr>
        <w:t>招标办</w:t>
      </w:r>
    </w:p>
    <w:p>
      <w:pPr>
        <w:widowControl w:val="0"/>
        <w:spacing w:line="400" w:lineRule="atLeast"/>
        <w:jc w:val="center"/>
      </w:pPr>
      <w:r>
        <w:rPr>
          <w:rFonts w:hint="eastAsia" w:ascii="宋体" w:hAnsi="宋体"/>
          <w:color w:val="auto"/>
          <w:sz w:val="24"/>
          <w:szCs w:val="24"/>
          <w:lang w:val="en-US" w:eastAsia="zh-CN"/>
        </w:rPr>
        <w:t xml:space="preserve">                                                                    2020</w:t>
      </w:r>
      <w:r>
        <w:rPr>
          <w:rFonts w:ascii="宋体" w:hAnsi="宋体"/>
          <w:color w:val="auto"/>
          <w:sz w:val="24"/>
          <w:szCs w:val="24"/>
        </w:rPr>
        <w:t>年</w:t>
      </w:r>
      <w:r>
        <w:rPr>
          <w:rFonts w:hint="eastAsia" w:ascii="宋体" w:hAnsi="宋体"/>
          <w:color w:val="auto"/>
          <w:sz w:val="24"/>
          <w:szCs w:val="24"/>
          <w:lang w:val="en-US" w:eastAsia="zh-CN"/>
        </w:rPr>
        <w:t>6</w:t>
      </w:r>
      <w:r>
        <w:rPr>
          <w:rFonts w:ascii="宋体" w:hAnsi="宋体"/>
          <w:color w:val="auto"/>
          <w:sz w:val="24"/>
          <w:szCs w:val="24"/>
        </w:rPr>
        <w:t>月</w:t>
      </w:r>
      <w:r>
        <w:rPr>
          <w:rFonts w:hint="eastAsia" w:ascii="宋体" w:hAnsi="宋体"/>
          <w:color w:val="auto"/>
          <w:sz w:val="24"/>
          <w:szCs w:val="24"/>
          <w:lang w:val="en-US" w:eastAsia="zh-CN"/>
        </w:rPr>
        <w:t>28</w:t>
      </w:r>
      <w:r>
        <w:rPr>
          <w:rFonts w:ascii="宋体" w:hAnsi="宋体"/>
          <w:color w:val="auto"/>
          <w:sz w:val="24"/>
          <w:szCs w:val="24"/>
        </w:rPr>
        <w:t>日</w:t>
      </w:r>
    </w:p>
    <w:sectPr>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86"/>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libri">
    <w:altName w:val="Segoe UI"/>
    <w:panose1 w:val="020F0502020204030204"/>
    <w:charset w:val="86"/>
    <w:family w:val="swiss"/>
    <w:pitch w:val="default"/>
    <w:sig w:usb0="00000000" w:usb1="00000000" w:usb2="00000001" w:usb3="00000000" w:csb0="0000019F" w:csb1="00000000"/>
  </w:font>
  <w:font w:name="Calibri">
    <w:altName w:val="Segoe UI"/>
    <w:panose1 w:val="00000000000000000000"/>
    <w:charset w:val="00"/>
    <w:family w:val="auto"/>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B016B801"/>
    <w:multiLevelType w:val="singleLevel"/>
    <w:tmpl w:val="B016B801"/>
    <w:lvl w:ilvl="0" w:tentative="0">
      <w:start w:val="1"/>
      <w:numFmt w:val="decimal"/>
      <w:lvlText w:val="(%1)"/>
      <w:lvlJc w:val="left"/>
      <w:pPr>
        <w:ind w:left="425" w:hanging="425"/>
      </w:pPr>
      <w:rPr>
        <w:rFonts w:hint="default"/>
      </w:rPr>
    </w:lvl>
  </w:abstractNum>
  <w:abstractNum w:abstractNumId="3">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4">
    <w:nsid w:val="EB92A9F6"/>
    <w:multiLevelType w:val="singleLevel"/>
    <w:tmpl w:val="EB92A9F6"/>
    <w:lvl w:ilvl="0" w:tentative="0">
      <w:start w:val="14"/>
      <w:numFmt w:val="chineseCounting"/>
      <w:suff w:val="nothing"/>
      <w:lvlText w:val="%1、"/>
      <w:lvlJc w:val="left"/>
      <w:rPr>
        <w:rFonts w:hint="eastAsia"/>
      </w:rPr>
    </w:lvl>
  </w:abstractNum>
  <w:abstractNum w:abstractNumId="5">
    <w:nsid w:val="F9E63614"/>
    <w:multiLevelType w:val="singleLevel"/>
    <w:tmpl w:val="F9E63614"/>
    <w:lvl w:ilvl="0" w:tentative="0">
      <w:start w:val="1"/>
      <w:numFmt w:val="decimal"/>
      <w:lvlText w:val="%1."/>
      <w:lvlJc w:val="left"/>
      <w:pPr>
        <w:ind w:left="425" w:hanging="425"/>
      </w:pPr>
      <w:rPr>
        <w:rFonts w:hint="default"/>
      </w:rPr>
    </w:lvl>
  </w:abstractNum>
  <w:abstractNum w:abstractNumId="6">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7">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4C2AC38A"/>
    <w:multiLevelType w:val="singleLevel"/>
    <w:tmpl w:val="4C2AC38A"/>
    <w:lvl w:ilvl="0" w:tentative="0">
      <w:start w:val="1"/>
      <w:numFmt w:val="decimal"/>
      <w:suff w:val="space"/>
      <w:lvlText w:val="%1."/>
      <w:lvlJc w:val="left"/>
    </w:lvl>
  </w:abstractNum>
  <w:abstractNum w:abstractNumId="9">
    <w:nsid w:val="6A18A551"/>
    <w:multiLevelType w:val="singleLevel"/>
    <w:tmpl w:val="6A18A551"/>
    <w:lvl w:ilvl="0" w:tentative="0">
      <w:start w:val="1"/>
      <w:numFmt w:val="decimal"/>
      <w:suff w:val="nothing"/>
      <w:lvlText w:val="%1．"/>
      <w:lvlJc w:val="left"/>
      <w:pPr>
        <w:ind w:left="0" w:firstLine="400"/>
      </w:pPr>
      <w:rPr>
        <w:rFonts w:hint="default"/>
      </w:rPr>
    </w:lvl>
  </w:abstractNum>
  <w:num w:numId="1">
    <w:abstractNumId w:val="6"/>
    <w:lvlOverride w:ilvl="0">
      <w:startOverride w:val="1"/>
    </w:lvlOverride>
  </w:num>
  <w:num w:numId="2">
    <w:abstractNumId w:val="8"/>
  </w:num>
  <w:num w:numId="3">
    <w:abstractNumId w:val="2"/>
  </w:num>
  <w:num w:numId="4">
    <w:abstractNumId w:val="7"/>
  </w:num>
  <w:num w:numId="5">
    <w:abstractNumId w:val="3"/>
  </w:num>
  <w:num w:numId="6">
    <w:abstractNumId w:val="1"/>
  </w:num>
  <w:num w:numId="7">
    <w:abstractNumId w:val="9"/>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96F45DF"/>
    <w:rsid w:val="10772EB5"/>
    <w:rsid w:val="11972F68"/>
    <w:rsid w:val="11DE5603"/>
    <w:rsid w:val="13BA318B"/>
    <w:rsid w:val="1C28711D"/>
    <w:rsid w:val="1FC61767"/>
    <w:rsid w:val="228656D4"/>
    <w:rsid w:val="234F5E22"/>
    <w:rsid w:val="23F27268"/>
    <w:rsid w:val="252D19D6"/>
    <w:rsid w:val="25A87FB8"/>
    <w:rsid w:val="25BF27BD"/>
    <w:rsid w:val="2D230D73"/>
    <w:rsid w:val="323F2693"/>
    <w:rsid w:val="34FF5DC8"/>
    <w:rsid w:val="390D4485"/>
    <w:rsid w:val="3A4B4F63"/>
    <w:rsid w:val="3F114200"/>
    <w:rsid w:val="41417945"/>
    <w:rsid w:val="513C3EF8"/>
    <w:rsid w:val="556B3A6A"/>
    <w:rsid w:val="576718FE"/>
    <w:rsid w:val="586F64B0"/>
    <w:rsid w:val="589B3C10"/>
    <w:rsid w:val="5B2D6E0C"/>
    <w:rsid w:val="5DA113C7"/>
    <w:rsid w:val="603E0EA5"/>
    <w:rsid w:val="607D1710"/>
    <w:rsid w:val="65103767"/>
    <w:rsid w:val="71CE0F14"/>
    <w:rsid w:val="76892D68"/>
    <w:rsid w:val="7A2558BE"/>
    <w:rsid w:val="7C736239"/>
    <w:rsid w:val="7E793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8">
    <w:name w:val="p0"/>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2020-06-28T01:31:12Z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