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炼钢部使用挖掘机项目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7</w:t>
      </w:r>
      <w:r>
        <w:rPr>
          <w:rFonts w:ascii="宋体" w:hAnsi="宋体"/>
          <w:color w:val="000000"/>
        </w:rPr>
        <w:t>月</w:t>
      </w:r>
      <w:r>
        <w:rPr>
          <w:rFonts w:hint="eastAsia" w:ascii="宋体" w:hAnsi="宋体"/>
          <w:color w:val="000000"/>
          <w:lang w:val="en-US" w:eastAsia="zh-CN"/>
        </w:rPr>
        <w:t>17</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YSQC202007008LGBSYWJXM</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炼钢部使用挖掘机项目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default" w:ascii="宋体" w:hAnsi="宋体"/>
          <w:lang w:val="en-US" w:eastAsia="zh-CN"/>
        </w:rPr>
      </w:pPr>
      <w:r>
        <w:rPr>
          <w:rFonts w:hint="default" w:ascii="宋体" w:hAnsi="宋体"/>
          <w:lang w:eastAsia="zh-CN"/>
        </w:rPr>
        <w:t>炼钢部转炉炉坑清理、精炼炉炉坑清理、废钢清理及零星工作</w:t>
      </w:r>
      <w:r>
        <w:rPr>
          <w:rFonts w:hint="eastAsia" w:ascii="宋体" w:hAnsi="宋体"/>
          <w:lang w:eastAsia="zh-CN"/>
        </w:rPr>
        <w:t>（</w:t>
      </w:r>
      <w:r>
        <w:rPr>
          <w:rFonts w:hint="default" w:ascii="宋体" w:hAnsi="宋体"/>
          <w:lang w:eastAsia="zh-CN"/>
        </w:rPr>
        <w:t>2台</w:t>
      </w:r>
      <w:r>
        <w:rPr>
          <w:rFonts w:hint="eastAsia" w:ascii="宋体" w:hAnsi="宋体"/>
          <w:lang w:val="en-US" w:eastAsia="zh-CN"/>
        </w:rPr>
        <w:t>195型以上</w:t>
      </w:r>
      <w:r>
        <w:rPr>
          <w:rFonts w:hint="default" w:ascii="宋体" w:hAnsi="宋体"/>
          <w:lang w:eastAsia="zh-CN"/>
        </w:rPr>
        <w:t>挖掘机</w:t>
      </w:r>
      <w:r>
        <w:rPr>
          <w:rFonts w:hint="eastAsia" w:ascii="宋体" w:hAnsi="宋体"/>
          <w:lang w:eastAsia="zh-CN"/>
        </w:rPr>
        <w:t>、其中</w:t>
      </w:r>
      <w:r>
        <w:rPr>
          <w:rFonts w:hint="eastAsia" w:ascii="宋体" w:hAnsi="宋体"/>
          <w:lang w:val="en-US" w:eastAsia="zh-CN"/>
        </w:rPr>
        <w:t>1台需配风镐头</w:t>
      </w:r>
      <w:r>
        <w:rPr>
          <w:rFonts w:hint="eastAsia" w:ascii="宋体" w:hAnsi="宋体"/>
          <w:lang w:eastAsia="zh-CN"/>
        </w:rPr>
        <w:t>）；</w:t>
      </w: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8</w:t>
      </w:r>
      <w:r>
        <w:rPr>
          <w:rFonts w:ascii="宋体" w:hAnsi="宋体"/>
          <w:b w:val="0"/>
          <w:bCs/>
          <w:color w:val="auto"/>
        </w:rPr>
        <w:t>月</w:t>
      </w:r>
      <w:r>
        <w:rPr>
          <w:rFonts w:hint="eastAsia" w:ascii="宋体" w:hAnsi="宋体"/>
          <w:b w:val="0"/>
          <w:bCs/>
          <w:color w:val="auto"/>
          <w:u w:val="single"/>
          <w:lang w:val="en-US" w:eastAsia="zh-CN"/>
        </w:rPr>
        <w:t>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8</w:t>
      </w:r>
      <w:r>
        <w:rPr>
          <w:rFonts w:ascii="宋体" w:hAnsi="宋体"/>
          <w:b w:val="0"/>
          <w:bCs/>
          <w:color w:val="auto"/>
        </w:rPr>
        <w:t>月</w:t>
      </w:r>
      <w:r>
        <w:rPr>
          <w:rFonts w:hint="eastAsia" w:ascii="宋体" w:hAnsi="宋体"/>
          <w:b w:val="0"/>
          <w:bCs/>
          <w:color w:val="auto"/>
          <w:u w:val="single"/>
          <w:lang w:val="en-US" w:eastAsia="zh-CN"/>
        </w:rPr>
        <w:t>7</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8</w:t>
      </w:r>
      <w:r>
        <w:rPr>
          <w:rFonts w:hint="eastAsia" w:ascii="宋体" w:hAnsi="宋体"/>
          <w:bCs/>
          <w:color w:val="7030A0"/>
        </w:rPr>
        <w:t>月</w:t>
      </w:r>
      <w:r>
        <w:rPr>
          <w:rFonts w:hint="eastAsia" w:ascii="宋体" w:hAnsi="宋体"/>
          <w:bCs/>
          <w:color w:val="7030A0"/>
          <w:u w:val="single"/>
          <w:lang w:val="en-US" w:eastAsia="zh-CN"/>
        </w:rPr>
        <w:t>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240" w:lineRule="auto"/>
        <w:ind w:firstLine="1680" w:firstLineChars="700"/>
        <w:rPr>
          <w:rFonts w:ascii="宋体" w:hAnsi="宋体"/>
          <w:bCs/>
        </w:rPr>
      </w:pPr>
      <w:bookmarkStart w:id="0" w:name="_GoBack"/>
      <w:bookmarkEnd w:id="0"/>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2、承揽单位必须具备24小时承揽服务能力，配备足够作业人员，合理安排班次，作业人员不得疲劳作业，班次调整时不得连续24小时作业；</w:t>
      </w:r>
      <w:r>
        <w:rPr>
          <w:rFonts w:hint="eastAsia" w:ascii="宋体" w:hAnsi="宋体" w:eastAsia="宋体" w:cs="宋体"/>
          <w:b w:val="0"/>
          <w:bCs w:val="0"/>
          <w:color w:val="000000"/>
          <w:sz w:val="24"/>
          <w:szCs w:val="24"/>
          <w:lang w:val="en-US" w:eastAsia="zh-CN"/>
        </w:rPr>
        <w:t>作业人员须</w:t>
      </w:r>
      <w:r>
        <w:rPr>
          <w:rFonts w:hint="eastAsia" w:ascii="宋体" w:hAnsi="宋体" w:cs="宋体"/>
          <w:b w:val="0"/>
          <w:bCs w:val="0"/>
          <w:color w:val="000000"/>
          <w:sz w:val="24"/>
          <w:szCs w:val="24"/>
          <w:lang w:val="en-US" w:eastAsia="zh-CN"/>
        </w:rPr>
        <w:t>经培训合格后方可上岗</w:t>
      </w:r>
      <w:r>
        <w:rPr>
          <w:rFonts w:hint="eastAsia" w:ascii="宋体" w:hAnsi="宋体" w:eastAsia="宋体" w:cs="宋体"/>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承揽单位在合同履行中，必须遵守我公司的安全、生产、环保、质量、现场、车辆交通等规章制度。如违反相关规章制度，我公司将依据规章制度要求给予考核。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sz w:val="24"/>
          <w:szCs w:val="24"/>
          <w:u w:val="none"/>
          <w:lang w:val="en-US" w:eastAsia="zh-CN"/>
        </w:rPr>
        <w:t>4</w:t>
      </w:r>
      <w:r>
        <w:rPr>
          <w:rFonts w:hint="eastAsia" w:ascii="宋体" w:hAnsi="宋体" w:eastAsia="宋体" w:cs="宋体"/>
          <w:sz w:val="24"/>
          <w:szCs w:val="24"/>
          <w:u w:val="none"/>
          <w:lang w:val="en-US" w:eastAsia="zh-CN"/>
        </w:rPr>
        <w:t>、合同履约保证金为</w:t>
      </w:r>
      <w:r>
        <w:rPr>
          <w:rFonts w:hint="eastAsia" w:ascii="宋体" w:hAnsi="宋体" w:cs="宋体"/>
          <w:sz w:val="24"/>
          <w:szCs w:val="24"/>
          <w:u w:val="none"/>
          <w:lang w:val="en-US" w:eastAsia="zh-CN"/>
        </w:rPr>
        <w:t>5</w:t>
      </w:r>
      <w:r>
        <w:rPr>
          <w:rFonts w:hint="eastAsia" w:ascii="宋体" w:hAnsi="宋体" w:eastAsia="宋体" w:cs="宋体"/>
          <w:sz w:val="24"/>
          <w:szCs w:val="24"/>
          <w:u w:val="none"/>
          <w:lang w:val="en-US" w:eastAsia="zh-CN"/>
        </w:rPr>
        <w:t>万元。合同执行期结束，经双方确认无合同纠纷后，我公司退还承揽单位履约保证金（无息）；若存在尚未解决合同争端，履约保证金的有效期将延长到上述争端最终解决且所有理赔完毕。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、承揽单位须在履约前准备好车辆、作业人员，所有作业人员需接受</w:t>
      </w:r>
      <w:r>
        <w:rPr>
          <w:rFonts w:hint="eastAsia" w:ascii="宋体" w:hAnsi="宋体" w:cs="宋体"/>
          <w:color w:val="000000"/>
          <w:sz w:val="24"/>
          <w:szCs w:val="24"/>
          <w:lang w:val="en-US" w:eastAsia="zh-CN"/>
        </w:rPr>
        <w:t>用车部门</w:t>
      </w:r>
      <w:r>
        <w:rPr>
          <w:rFonts w:hint="eastAsia" w:ascii="宋体" w:hAnsi="宋体" w:eastAsia="宋体" w:cs="宋体"/>
          <w:color w:val="000000"/>
          <w:sz w:val="24"/>
          <w:szCs w:val="24"/>
          <w:lang w:val="en-US" w:eastAsia="zh-CN"/>
        </w:rPr>
        <w:t>安全培训、业务培训后方可上岗。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、合同期：</w:t>
      </w:r>
      <w:r>
        <w:rPr>
          <w:rFonts w:hint="eastAsia" w:ascii="宋体" w:hAnsi="宋体" w:cs="宋体"/>
          <w:sz w:val="24"/>
          <w:szCs w:val="22"/>
          <w:u w:val="none"/>
          <w:lang w:val="en-US" w:eastAsia="zh-CN"/>
        </w:rPr>
        <w:t>2020年8月29日</w:t>
      </w:r>
      <w:r>
        <w:rPr>
          <w:rFonts w:hint="eastAsia" w:ascii="宋体" w:hAnsi="宋体" w:eastAsia="宋体" w:cs="宋体"/>
          <w:sz w:val="24"/>
          <w:szCs w:val="22"/>
          <w:u w:val="none"/>
          <w:lang w:val="en-US" w:eastAsia="zh-CN"/>
        </w:rPr>
        <w:t>至20</w:t>
      </w:r>
      <w:r>
        <w:rPr>
          <w:rFonts w:hint="eastAsia" w:ascii="宋体" w:hAnsi="宋体" w:cs="宋体"/>
          <w:sz w:val="24"/>
          <w:szCs w:val="22"/>
          <w:u w:val="none"/>
          <w:lang w:val="en-US" w:eastAsia="zh-CN"/>
        </w:rPr>
        <w:t>20</w:t>
      </w:r>
      <w:r>
        <w:rPr>
          <w:rFonts w:hint="eastAsia" w:ascii="宋体" w:hAnsi="宋体" w:eastAsia="宋体" w:cs="宋体"/>
          <w:sz w:val="24"/>
          <w:szCs w:val="22"/>
          <w:u w:val="none"/>
          <w:lang w:val="en-US" w:eastAsia="zh-CN"/>
        </w:rPr>
        <w:t>年</w:t>
      </w:r>
      <w:r>
        <w:rPr>
          <w:rFonts w:hint="eastAsia" w:ascii="宋体" w:hAnsi="宋体" w:cs="宋体"/>
          <w:sz w:val="24"/>
          <w:szCs w:val="22"/>
          <w:u w:val="none"/>
          <w:lang w:val="en-US" w:eastAsia="zh-CN"/>
        </w:rPr>
        <w:t>12</w:t>
      </w:r>
      <w:r>
        <w:rPr>
          <w:rFonts w:hint="eastAsia" w:ascii="宋体" w:hAnsi="宋体" w:eastAsia="宋体" w:cs="宋体"/>
          <w:sz w:val="24"/>
          <w:szCs w:val="22"/>
          <w:u w:val="none"/>
          <w:lang w:val="en-US" w:eastAsia="zh-CN"/>
        </w:rPr>
        <w:t>月28日</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000000"/>
          <w:sz w:val="24"/>
          <w:szCs w:val="24"/>
          <w:lang w:val="en-US" w:eastAsia="zh-CN"/>
        </w:rPr>
        <w:t>7、</w:t>
      </w:r>
      <w:r>
        <w:rPr>
          <w:rFonts w:hint="eastAsia" w:ascii="宋体" w:hAnsi="宋体" w:cs="宋体"/>
          <w:color w:val="auto"/>
          <w:sz w:val="24"/>
          <w:szCs w:val="24"/>
          <w:lang w:val="en-US" w:eastAsia="zh-CN"/>
        </w:rPr>
        <w:t>投标单位需具有装卸资质。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8、本次招标项目最高投标限价为：0.77元/吨（大写：柒角柒分元/吨），报价高于此最高投标限价的作废标处理。</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报价表</w:t>
      </w:r>
    </w:p>
    <w:p>
      <w:pPr>
        <w:tabs>
          <w:tab w:val="left" w:pos="420"/>
          <w:tab w:val="left" w:pos="630"/>
        </w:tabs>
        <w:spacing w:line="300" w:lineRule="auto"/>
        <w:jc w:val="center"/>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不含税报价（适用税率</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w:t>
      </w:r>
      <w:r>
        <w:rPr>
          <w:rFonts w:hint="eastAsia" w:ascii="宋体" w:hAnsi="宋体" w:eastAsia="宋体" w:cs="宋体"/>
          <w:sz w:val="28"/>
          <w:szCs w:val="28"/>
          <w:u w:val="none"/>
          <w:lang w:eastAsia="zh-CN"/>
        </w:rPr>
        <w:t>）</w:t>
      </w:r>
    </w:p>
    <w:p>
      <w:pPr>
        <w:tabs>
          <w:tab w:val="left" w:pos="420"/>
          <w:tab w:val="left" w:pos="630"/>
        </w:tabs>
        <w:spacing w:line="300" w:lineRule="auto"/>
        <w:jc w:val="center"/>
        <w:rPr>
          <w:rFonts w:hint="eastAsia" w:ascii="宋体" w:hAnsi="宋体" w:eastAsia="宋体" w:cs="宋体"/>
          <w:sz w:val="28"/>
          <w:szCs w:val="28"/>
          <w:u w:val="none"/>
          <w:lang w:eastAsia="zh-CN"/>
        </w:rPr>
      </w:pPr>
    </w:p>
    <w:tbl>
      <w:tblPr>
        <w:tblStyle w:val="7"/>
        <w:tblpPr w:leftFromText="180" w:rightFromText="180" w:vertAnchor="text" w:horzAnchor="page" w:tblpX="1106" w:tblpY="68"/>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201"/>
        <w:gridCol w:w="3001"/>
        <w:gridCol w:w="1377"/>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22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车型</w:t>
            </w:r>
          </w:p>
        </w:tc>
        <w:tc>
          <w:tcPr>
            <w:tcW w:w="30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结算方式</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单价   </w:t>
            </w:r>
          </w:p>
        </w:tc>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395" w:type="dxa"/>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r>
              <w:rPr>
                <w:rFonts w:hint="default" w:ascii="宋体" w:hAnsi="宋体" w:eastAsia="宋体"/>
                <w:b w:val="0"/>
                <w:i w:val="0"/>
                <w:snapToGrid/>
                <w:color w:val="000000"/>
                <w:sz w:val="21"/>
                <w:szCs w:val="21"/>
                <w:u w:val="none"/>
                <w:lang w:eastAsia="zh-CN"/>
              </w:rPr>
              <w:t>炼钢部转炉炉坑清理、精炼炉炉坑清理、废钢清理及零星工作</w:t>
            </w:r>
          </w:p>
        </w:tc>
        <w:tc>
          <w:tcPr>
            <w:tcW w:w="2201" w:type="dxa"/>
            <w:noWrap w:val="0"/>
            <w:vAlign w:val="center"/>
          </w:tcPr>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r>
              <w:rPr>
                <w:rFonts w:hint="default" w:ascii="宋体" w:hAnsi="宋体" w:eastAsia="宋体"/>
                <w:b w:val="0"/>
                <w:i w:val="0"/>
                <w:snapToGrid/>
                <w:color w:val="auto"/>
                <w:sz w:val="21"/>
                <w:szCs w:val="21"/>
                <w:u w:val="none"/>
                <w:lang w:eastAsia="zh-CN"/>
              </w:rPr>
              <w:t>2台</w:t>
            </w:r>
            <w:r>
              <w:rPr>
                <w:rFonts w:hint="eastAsia" w:ascii="宋体" w:hAnsi="宋体" w:cs="宋体"/>
                <w:color w:val="auto"/>
                <w:sz w:val="21"/>
                <w:szCs w:val="21"/>
                <w:vertAlign w:val="baseline"/>
                <w:lang w:val="en-US" w:eastAsia="zh-CN"/>
              </w:rPr>
              <w:t>195</w:t>
            </w:r>
            <w:r>
              <w:rPr>
                <w:rFonts w:hint="eastAsia" w:ascii="宋体" w:hAnsi="宋体" w:eastAsia="宋体" w:cs="宋体"/>
                <w:color w:val="auto"/>
                <w:sz w:val="21"/>
                <w:szCs w:val="21"/>
                <w:vertAlign w:val="baseline"/>
                <w:lang w:val="en-US" w:eastAsia="zh-CN"/>
              </w:rPr>
              <w:t>型</w:t>
            </w:r>
            <w:r>
              <w:rPr>
                <w:rFonts w:hint="eastAsia" w:ascii="宋体" w:hAnsi="宋体" w:cs="宋体"/>
                <w:color w:val="auto"/>
                <w:sz w:val="21"/>
                <w:szCs w:val="21"/>
                <w:vertAlign w:val="baseline"/>
                <w:lang w:val="en-US" w:eastAsia="zh-CN"/>
              </w:rPr>
              <w:t>以上</w:t>
            </w:r>
            <w:r>
              <w:rPr>
                <w:rFonts w:hint="default" w:ascii="宋体" w:hAnsi="宋体" w:eastAsia="宋体"/>
                <w:b w:val="0"/>
                <w:i w:val="0"/>
                <w:snapToGrid/>
                <w:color w:val="auto"/>
                <w:sz w:val="21"/>
                <w:szCs w:val="21"/>
                <w:u w:val="none"/>
                <w:lang w:eastAsia="zh-CN"/>
              </w:rPr>
              <w:t>挖掘机</w:t>
            </w:r>
            <w:r>
              <w:rPr>
                <w:rFonts w:hint="eastAsia" w:ascii="宋体" w:hAnsi="宋体"/>
                <w:b w:val="0"/>
                <w:i w:val="0"/>
                <w:snapToGrid/>
                <w:color w:val="auto"/>
                <w:sz w:val="21"/>
                <w:szCs w:val="21"/>
                <w:u w:val="none"/>
                <w:lang w:eastAsia="zh-CN"/>
              </w:rPr>
              <w:t>、其中</w:t>
            </w:r>
            <w:r>
              <w:rPr>
                <w:rFonts w:hint="eastAsia" w:ascii="宋体" w:hAnsi="宋体"/>
                <w:b w:val="0"/>
                <w:i w:val="0"/>
                <w:snapToGrid/>
                <w:color w:val="auto"/>
                <w:sz w:val="21"/>
                <w:szCs w:val="21"/>
                <w:u w:val="none"/>
                <w:lang w:val="en-US" w:eastAsia="zh-CN"/>
              </w:rPr>
              <w:t>1台需配风镐头</w:t>
            </w:r>
          </w:p>
        </w:tc>
        <w:tc>
          <w:tcPr>
            <w:tcW w:w="3001" w:type="dxa"/>
            <w:noWrap w:val="0"/>
            <w:vAlign w:val="center"/>
          </w:tcPr>
          <w:p>
            <w:pPr>
              <w:kinsoku/>
              <w:autoSpaceDE/>
              <w:autoSpaceDN w:val="0"/>
              <w:spacing w:line="240" w:lineRule="auto"/>
              <w:jc w:val="center"/>
              <w:textAlignment w:val="center"/>
              <w:rPr>
                <w:rFonts w:hint="eastAsia" w:ascii="宋体" w:hAnsi="宋体" w:eastAsia="宋体" w:cs="宋体"/>
                <w:color w:val="auto"/>
                <w:sz w:val="21"/>
                <w:szCs w:val="21"/>
                <w:vertAlign w:val="baseline"/>
                <w:lang w:val="en-US" w:eastAsia="zh-CN"/>
              </w:rPr>
            </w:pPr>
            <w:r>
              <w:rPr>
                <w:rFonts w:hint="default" w:ascii="宋体" w:hAnsi="宋体" w:eastAsia="宋体"/>
                <w:b w:val="0"/>
                <w:i w:val="0"/>
                <w:snapToGrid/>
                <w:color w:val="000000"/>
                <w:sz w:val="21"/>
                <w:szCs w:val="21"/>
                <w:u w:val="none"/>
                <w:lang w:eastAsia="zh-CN"/>
              </w:rPr>
              <w:t>费用=当月钢产量*单价          钢产量月均2</w:t>
            </w:r>
            <w:r>
              <w:rPr>
                <w:rFonts w:hint="eastAsia" w:ascii="宋体" w:hAnsi="宋体"/>
                <w:b w:val="0"/>
                <w:i w:val="0"/>
                <w:snapToGrid/>
                <w:color w:val="000000"/>
                <w:sz w:val="21"/>
                <w:szCs w:val="21"/>
                <w:u w:val="none"/>
                <w:lang w:val="en-US" w:eastAsia="zh-CN"/>
              </w:rPr>
              <w:t>4.5</w:t>
            </w:r>
            <w:r>
              <w:rPr>
                <w:rFonts w:hint="default" w:ascii="宋体" w:hAnsi="宋体" w:eastAsia="宋体"/>
                <w:b w:val="0"/>
                <w:i w:val="0"/>
                <w:snapToGrid/>
                <w:color w:val="000000"/>
                <w:sz w:val="21"/>
                <w:szCs w:val="21"/>
                <w:u w:val="none"/>
                <w:lang w:eastAsia="zh-CN"/>
              </w:rPr>
              <w:t>万吨</w:t>
            </w:r>
          </w:p>
        </w:tc>
        <w:tc>
          <w:tcPr>
            <w:tcW w:w="1377" w:type="dxa"/>
            <w:noWrap w:val="0"/>
            <w:vAlign w:val="bottom"/>
          </w:tcPr>
          <w:p>
            <w:pPr>
              <w:kinsoku/>
              <w:autoSpaceDE/>
              <w:autoSpaceDN w:val="0"/>
              <w:spacing w:line="240" w:lineRule="auto"/>
              <w:jc w:val="right"/>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元/吨</w:t>
            </w:r>
          </w:p>
        </w:tc>
        <w:tc>
          <w:tcPr>
            <w:tcW w:w="1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三个月后付款  </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 xml:space="preserve">  （承兑汇票）</w:t>
            </w:r>
          </w:p>
          <w:p>
            <w:pPr>
              <w:kinsoku/>
              <w:autoSpaceDE/>
              <w:autoSpaceDN w:val="0"/>
              <w:spacing w:line="240" w:lineRule="auto"/>
              <w:jc w:val="center"/>
              <w:textAlignment w:val="center"/>
              <w:rPr>
                <w:rFonts w:hint="eastAsia" w:ascii="宋体" w:hAnsi="宋体" w:eastAsia="宋体" w:cs="宋体"/>
                <w:sz w:val="21"/>
                <w:szCs w:val="21"/>
                <w:vertAlign w:val="baseline"/>
                <w:lang w:val="en-US" w:eastAsia="zh-CN"/>
              </w:rPr>
            </w:pPr>
          </w:p>
        </w:tc>
      </w:tr>
    </w:tbl>
    <w:p>
      <w:pPr>
        <w:spacing w:line="360" w:lineRule="auto"/>
        <w:rPr>
          <w:rFonts w:hint="eastAsia"/>
          <w:lang w:val="en-US" w:eastAsia="zh-CN"/>
        </w:rPr>
      </w:pPr>
      <w:r>
        <w:rPr>
          <w:rFonts w:hint="eastAsia"/>
          <w:lang w:val="en-US" w:eastAsia="zh-CN"/>
        </w:rPr>
        <w:t xml:space="preserve">  </w:t>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ascii="宋体" w:hAnsi="宋体" w:eastAsia="宋体" w:cs="宋体"/>
          <w:sz w:val="28"/>
          <w:szCs w:val="24"/>
          <w:lang w:val="en-US" w:eastAsia="zh-CN"/>
        </w:rPr>
      </w:pPr>
      <w:r>
        <w:rPr>
          <w:rFonts w:hint="eastAsia"/>
          <w:lang w:val="en-US" w:eastAsia="zh-CN"/>
        </w:rPr>
        <w:t xml:space="preserve">   </w:t>
      </w: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盖章</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7</w:t>
      </w:r>
      <w:r>
        <w:rPr>
          <w:rFonts w:ascii="宋体" w:hAnsi="宋体"/>
          <w:color w:val="auto"/>
          <w:sz w:val="24"/>
          <w:szCs w:val="24"/>
        </w:rPr>
        <w:t>月</w:t>
      </w:r>
      <w:r>
        <w:rPr>
          <w:rFonts w:hint="eastAsia" w:ascii="宋体" w:hAnsi="宋体"/>
          <w:color w:val="auto"/>
          <w:sz w:val="24"/>
          <w:szCs w:val="24"/>
          <w:lang w:val="en-US" w:eastAsia="zh-CN"/>
        </w:rPr>
        <w:t>17</w:t>
      </w:r>
      <w:r>
        <w:rPr>
          <w:rFonts w:ascii="宋体" w:hAnsi="宋体"/>
          <w:color w:val="auto"/>
          <w:sz w:val="24"/>
          <w:szCs w:val="24"/>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C2AC38A"/>
    <w:multiLevelType w:val="singleLevel"/>
    <w:tmpl w:val="4C2AC38A"/>
    <w:lvl w:ilvl="0" w:tentative="0">
      <w:start w:val="1"/>
      <w:numFmt w:val="decimal"/>
      <w:suff w:val="space"/>
      <w:lvlText w:val="%1."/>
      <w:lvlJc w:val="left"/>
    </w:lvl>
  </w:abstractNum>
  <w:abstractNum w:abstractNumId="7">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8">
    <w:nsid w:val="7182F057"/>
    <w:multiLevelType w:val="singleLevel"/>
    <w:tmpl w:val="7182F057"/>
    <w:lvl w:ilvl="0" w:tentative="0">
      <w:start w:val="1"/>
      <w:numFmt w:val="decimal"/>
      <w:lvlText w:val="%1."/>
      <w:lvlJc w:val="left"/>
      <w:pPr>
        <w:ind w:left="425" w:hanging="425"/>
      </w:pPr>
      <w:rPr>
        <w:rFonts w:hint="default"/>
      </w:rPr>
    </w:lvl>
  </w:abstractNum>
  <w:num w:numId="1">
    <w:abstractNumId w:val="4"/>
    <w:lvlOverride w:ilvl="0">
      <w:startOverride w:val="1"/>
    </w:lvlOverride>
  </w:num>
  <w:num w:numId="2">
    <w:abstractNumId w:val="6"/>
  </w:num>
  <w:num w:numId="3">
    <w:abstractNumId w:val="2"/>
  </w:num>
  <w:num w:numId="4">
    <w:abstractNumId w:val="5"/>
  </w:num>
  <w:num w:numId="5">
    <w:abstractNumId w:val="3"/>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10772EB5"/>
    <w:rsid w:val="11042718"/>
    <w:rsid w:val="11DE5603"/>
    <w:rsid w:val="13BA318B"/>
    <w:rsid w:val="1C28711D"/>
    <w:rsid w:val="1FC61767"/>
    <w:rsid w:val="234F5E22"/>
    <w:rsid w:val="235F129F"/>
    <w:rsid w:val="23F27268"/>
    <w:rsid w:val="252D19D6"/>
    <w:rsid w:val="25A87FB8"/>
    <w:rsid w:val="2CDF22DA"/>
    <w:rsid w:val="2D230D73"/>
    <w:rsid w:val="2ED2630E"/>
    <w:rsid w:val="318547A2"/>
    <w:rsid w:val="323F2693"/>
    <w:rsid w:val="330D5B2A"/>
    <w:rsid w:val="34FF5DC8"/>
    <w:rsid w:val="364405EB"/>
    <w:rsid w:val="36817EBB"/>
    <w:rsid w:val="390D4485"/>
    <w:rsid w:val="39CB2D53"/>
    <w:rsid w:val="3A4B4F63"/>
    <w:rsid w:val="3EE92E85"/>
    <w:rsid w:val="3F114200"/>
    <w:rsid w:val="41417945"/>
    <w:rsid w:val="434F5A3E"/>
    <w:rsid w:val="44606DB5"/>
    <w:rsid w:val="513C3EF8"/>
    <w:rsid w:val="556B3A6A"/>
    <w:rsid w:val="589B3C10"/>
    <w:rsid w:val="596D27DA"/>
    <w:rsid w:val="5DA113C7"/>
    <w:rsid w:val="603E0EA5"/>
    <w:rsid w:val="607D1710"/>
    <w:rsid w:val="618966F9"/>
    <w:rsid w:val="66CE0F06"/>
    <w:rsid w:val="6C373C66"/>
    <w:rsid w:val="71CE0F14"/>
    <w:rsid w:val="725D12C8"/>
    <w:rsid w:val="76892D68"/>
    <w:rsid w:val="79597486"/>
    <w:rsid w:val="7A036D45"/>
    <w:rsid w:val="7A2558BE"/>
    <w:rsid w:val="7C736239"/>
    <w:rsid w:val="7D19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2020-08-13T07:53:37Z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