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宋体" w:hAnsi="宋体" w:eastAsia="宋体"/>
          <w:b/>
          <w:sz w:val="36"/>
          <w:szCs w:val="36"/>
          <w:lang w:val="en-US" w:eastAsia="zh-CN"/>
        </w:rPr>
      </w:pPr>
      <w:r>
        <w:rPr>
          <w:rFonts w:hint="eastAsia" w:ascii="宋体" w:hAnsi="宋体"/>
          <w:b/>
          <w:sz w:val="36"/>
          <w:szCs w:val="36"/>
        </w:rPr>
        <w:t>芜湖新兴铸管</w:t>
      </w:r>
      <w:r>
        <w:rPr>
          <w:rFonts w:hint="eastAsia" w:ascii="宋体" w:hAnsi="宋体"/>
          <w:b/>
          <w:sz w:val="36"/>
          <w:szCs w:val="36"/>
          <w:lang w:val="en-US" w:eastAsia="zh-CN"/>
        </w:rPr>
        <w:t>有限责任公司</w:t>
      </w:r>
    </w:p>
    <w:p>
      <w:pPr>
        <w:jc w:val="center"/>
        <w:rPr>
          <w:rFonts w:hint="eastAsia" w:ascii="宋体" w:hAnsi="宋体"/>
          <w:b/>
          <w:sz w:val="36"/>
          <w:szCs w:val="36"/>
          <w:lang w:val="en-US" w:eastAsia="zh-CN"/>
        </w:rPr>
      </w:pPr>
      <w:r>
        <w:rPr>
          <w:rFonts w:hint="eastAsia" w:ascii="宋体" w:hAnsi="宋体"/>
          <w:b/>
          <w:sz w:val="36"/>
          <w:szCs w:val="36"/>
          <w:lang w:val="en-US" w:eastAsia="zh-CN"/>
        </w:rPr>
        <w:t>炼钢部红粉倒运项目</w:t>
      </w:r>
    </w:p>
    <w:p>
      <w:pPr>
        <w:jc w:val="center"/>
        <w:rPr>
          <w:rFonts w:hint="eastAsia" w:ascii="宋体" w:hAnsi="宋体"/>
          <w:sz w:val="84"/>
          <w:szCs w:val="84"/>
        </w:rPr>
      </w:pPr>
      <w:r>
        <w:rPr>
          <w:rFonts w:hint="eastAsia" w:ascii="宋体" w:hAnsi="宋体"/>
          <w:b/>
          <w:sz w:val="44"/>
          <w:szCs w:val="44"/>
        </w:rPr>
        <w:t>招标公告</w:t>
      </w:r>
    </w:p>
    <w:p>
      <w:pPr>
        <w:spacing w:line="300" w:lineRule="auto"/>
        <w:jc w:val="center"/>
        <w:rPr>
          <w:rFonts w:ascii="宋体" w:hAnsi="宋体"/>
          <w:color w:val="000000"/>
        </w:rPr>
      </w:pPr>
      <w:r>
        <w:rPr>
          <w:rFonts w:hint="eastAsia" w:ascii="宋体" w:hAnsi="宋体"/>
        </w:rPr>
        <w:t>日</w:t>
      </w:r>
      <w:r>
        <w:rPr>
          <w:rFonts w:ascii="宋体" w:hAnsi="宋体"/>
        </w:rPr>
        <w:t xml:space="preserve">  期：</w:t>
      </w:r>
      <w:r>
        <w:rPr>
          <w:rFonts w:hint="eastAsia" w:ascii="宋体" w:hAnsi="宋体"/>
          <w:u w:val="none"/>
          <w:lang w:val="en-US" w:eastAsia="zh-CN"/>
        </w:rPr>
        <w:t>2020</w:t>
      </w:r>
      <w:r>
        <w:rPr>
          <w:rFonts w:ascii="宋体" w:hAnsi="宋体"/>
        </w:rPr>
        <w:t>年</w:t>
      </w:r>
      <w:r>
        <w:rPr>
          <w:rFonts w:hint="eastAsia" w:ascii="宋体" w:hAnsi="宋体"/>
          <w:lang w:val="en-US" w:eastAsia="zh-CN"/>
        </w:rPr>
        <w:t>9</w:t>
      </w:r>
      <w:r>
        <w:rPr>
          <w:rFonts w:ascii="宋体" w:hAnsi="宋体"/>
          <w:color w:val="000000"/>
        </w:rPr>
        <w:t>月</w:t>
      </w:r>
      <w:r>
        <w:rPr>
          <w:rFonts w:hint="eastAsia" w:ascii="宋体" w:hAnsi="宋体"/>
          <w:color w:val="000000"/>
          <w:lang w:val="en-US" w:eastAsia="zh-CN"/>
        </w:rPr>
        <w:t>25</w:t>
      </w:r>
      <w:r>
        <w:rPr>
          <w:rFonts w:ascii="宋体" w:hAnsi="宋体"/>
          <w:color w:val="000000"/>
        </w:rPr>
        <w:t>日</w:t>
      </w:r>
    </w:p>
    <w:p>
      <w:pPr>
        <w:spacing w:line="300" w:lineRule="auto"/>
        <w:jc w:val="center"/>
        <w:rPr>
          <w:rFonts w:hint="default" w:ascii="宋体" w:hAnsi="宋体" w:eastAsia="宋体"/>
          <w:color w:val="000000"/>
          <w:u w:val="single"/>
          <w:lang w:val="en-US" w:eastAsia="zh-CN"/>
        </w:rPr>
      </w:pPr>
      <w:r>
        <w:rPr>
          <w:rFonts w:hint="eastAsia" w:ascii="宋体" w:hAnsi="宋体"/>
          <w:color w:val="000000"/>
        </w:rPr>
        <w:t>招标号：</w:t>
      </w:r>
      <w:r>
        <w:rPr>
          <w:rFonts w:hint="eastAsia" w:ascii="宋体" w:hAnsi="宋体"/>
          <w:color w:val="000000"/>
          <w:lang w:val="en-US" w:eastAsia="zh-CN"/>
        </w:rPr>
        <w:t>YSQC202010004LGBHFDY</w:t>
      </w:r>
    </w:p>
    <w:p>
      <w:pPr>
        <w:ind w:firstLine="480" w:firstLineChars="200"/>
        <w:jc w:val="both"/>
        <w:rPr>
          <w:rFonts w:hint="eastAsia" w:ascii="宋体" w:hAnsi="宋体"/>
        </w:rPr>
      </w:pPr>
      <w:r>
        <w:rPr>
          <w:rFonts w:hint="eastAsia" w:ascii="宋体" w:hAnsi="宋体"/>
          <w:kern w:val="2"/>
          <w:sz w:val="24"/>
          <w:szCs w:val="24"/>
          <w:lang w:val="en-US" w:eastAsia="zh-CN" w:bidi="ar-SA"/>
        </w:rPr>
        <w:t>我公司将于近日对</w:t>
      </w:r>
      <w:r>
        <w:rPr>
          <w:rFonts w:hint="eastAsia" w:ascii="宋体" w:hAnsi="宋体"/>
          <w:b/>
          <w:bCs/>
          <w:color w:val="FF0000"/>
          <w:u w:val="none"/>
          <w:lang w:val="en-US" w:eastAsia="zh-CN"/>
        </w:rPr>
        <w:t>炼钢部红粉倒运项目</w:t>
      </w:r>
      <w:r>
        <w:rPr>
          <w:rFonts w:hint="eastAsia" w:ascii="宋体" w:hAnsi="宋体"/>
          <w:kern w:val="2"/>
          <w:sz w:val="24"/>
          <w:szCs w:val="24"/>
          <w:lang w:val="en-US" w:eastAsia="zh-CN" w:bidi="ar-SA"/>
        </w:rPr>
        <w:t>进行招标，有意向合作的公司可与我公司联系进行</w:t>
      </w:r>
      <w:r>
        <w:rPr>
          <w:rFonts w:hint="eastAsia" w:ascii="宋体" w:hAnsi="宋体"/>
        </w:rPr>
        <w:t>网上报名者</w:t>
      </w:r>
      <w:r>
        <w:rPr>
          <w:rFonts w:hint="eastAsia" w:ascii="宋体" w:hAnsi="宋体"/>
          <w:lang w:eastAsia="zh-CN"/>
        </w:rPr>
        <w:t>（</w:t>
      </w:r>
      <w:r>
        <w:rPr>
          <w:rFonts w:hint="eastAsia" w:ascii="宋体" w:hAnsi="宋体"/>
          <w:lang w:val="en-US" w:eastAsia="zh-CN"/>
        </w:rPr>
        <w:t>疫情期间谢绝现场报名</w:t>
      </w:r>
      <w:r>
        <w:rPr>
          <w:rFonts w:hint="eastAsia" w:ascii="宋体" w:hAnsi="宋体"/>
          <w:lang w:eastAsia="zh-CN"/>
        </w:rPr>
        <w:t>）</w:t>
      </w:r>
      <w:r>
        <w:rPr>
          <w:rFonts w:hint="eastAsia" w:ascii="宋体" w:hAnsi="宋体"/>
        </w:rPr>
        <w:t>，请按要求填写投标报名函，并附上相关资质及业绩，</w:t>
      </w:r>
      <w:r>
        <w:rPr>
          <w:rFonts w:hint="eastAsia" w:ascii="宋体" w:hAnsi="宋体"/>
          <w:lang w:val="en-US" w:eastAsia="zh-CN"/>
        </w:rPr>
        <w:t>公平交易承诺函（</w:t>
      </w:r>
      <w:r>
        <w:rPr>
          <w:rFonts w:hint="eastAsia" w:ascii="宋体" w:hAnsi="宋体"/>
        </w:rPr>
        <w:t>加盖公章</w:t>
      </w:r>
      <w:r>
        <w:rPr>
          <w:rFonts w:hint="eastAsia" w:ascii="宋体" w:hAnsi="宋体"/>
          <w:lang w:eastAsia="zh-CN"/>
        </w:rPr>
        <w:t>）</w:t>
      </w:r>
      <w:r>
        <w:rPr>
          <w:rFonts w:hint="eastAsia" w:ascii="宋体" w:hAnsi="宋体"/>
        </w:rPr>
        <w:t>扫描后发至</w:t>
      </w:r>
      <w:r>
        <w:rPr>
          <w:rFonts w:hint="eastAsia" w:ascii="宋体" w:hAnsi="宋体"/>
          <w:lang w:val="en-US" w:eastAsia="zh-CN"/>
        </w:rPr>
        <w:t>陈凯</w:t>
      </w:r>
      <w:r>
        <w:rPr>
          <w:rFonts w:hint="eastAsia" w:ascii="宋体" w:hAnsi="宋体"/>
        </w:rPr>
        <w:t>邮箱。</w:t>
      </w:r>
    </w:p>
    <w:p>
      <w:pPr>
        <w:widowControl w:val="0"/>
        <w:autoSpaceDE w:val="0"/>
        <w:spacing w:line="240" w:lineRule="auto"/>
        <w:ind w:firstLine="480" w:firstLineChars="200"/>
        <w:jc w:val="both"/>
        <w:rPr>
          <w:rFonts w:hint="eastAsia" w:ascii="宋体" w:hAnsi="宋体" w:cs="宋体"/>
        </w:rPr>
      </w:pPr>
      <w:r>
        <w:rPr>
          <w:rFonts w:hint="eastAsia" w:ascii="宋体" w:hAnsi="宋体" w:cs="宋体"/>
        </w:rPr>
        <w:t>项目业务内容：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仿宋_GB2312" w:hAnsi="仿宋_GB2312" w:eastAsia="仿宋_GB2312" w:cs="仿宋_GB2312"/>
          <w:color w:val="000000"/>
          <w:sz w:val="24"/>
          <w:szCs w:val="24"/>
          <w:lang w:val="en-US"/>
        </w:rPr>
      </w:pPr>
      <w:r>
        <w:rPr>
          <w:rFonts w:hint="eastAsia" w:ascii="宋体" w:hAnsi="宋体" w:cs="宋体"/>
          <w:sz w:val="24"/>
          <w:szCs w:val="24"/>
          <w:lang w:val="en-US" w:eastAsia="zh-CN"/>
        </w:rPr>
        <w:t>1、</w:t>
      </w:r>
      <w:r>
        <w:rPr>
          <w:rFonts w:hint="eastAsia" w:ascii="宋体" w:hAnsi="宋体" w:cs="宋体"/>
          <w:sz w:val="24"/>
          <w:szCs w:val="24"/>
          <w:lang w:eastAsia="zh-CN"/>
        </w:rPr>
        <w:t>炼钢部除尘红粉、细灰倒运至炼钢压球、炼铁烧结。</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cs="宋体"/>
          <w:sz w:val="24"/>
          <w:szCs w:val="24"/>
          <w:lang w:eastAsia="zh-CN"/>
        </w:rPr>
      </w:pPr>
      <w:r>
        <w:rPr>
          <w:rFonts w:hint="eastAsia" w:ascii="宋体" w:hAnsi="宋体" w:cs="宋体"/>
          <w:sz w:val="24"/>
          <w:szCs w:val="24"/>
          <w:lang w:val="en-US" w:eastAsia="zh-CN"/>
        </w:rPr>
        <w:t>2、</w:t>
      </w:r>
      <w:r>
        <w:rPr>
          <w:rFonts w:hint="eastAsia" w:ascii="宋体" w:hAnsi="宋体" w:cs="宋体"/>
          <w:sz w:val="24"/>
          <w:szCs w:val="24"/>
          <w:lang w:eastAsia="zh-CN"/>
        </w:rPr>
        <w:t>红粉温度约100-120℃，偶尔会达到200℃。</w:t>
      </w:r>
    </w:p>
    <w:p>
      <w:pPr>
        <w:ind w:firstLine="480" w:firstLineChars="200"/>
        <w:jc w:val="both"/>
        <w:rPr>
          <w:rFonts w:hint="eastAsia" w:ascii="宋体" w:hAnsi="宋体" w:cs="宋体"/>
          <w:sz w:val="24"/>
          <w:szCs w:val="24"/>
          <w:lang w:val="en-US" w:eastAsia="zh-CN"/>
        </w:rPr>
      </w:pPr>
      <w:r>
        <w:rPr>
          <w:rFonts w:hint="eastAsia" w:ascii="宋体" w:hAnsi="宋体" w:cs="宋体"/>
          <w:sz w:val="24"/>
          <w:szCs w:val="24"/>
          <w:lang w:val="en-US" w:eastAsia="zh-CN"/>
        </w:rPr>
        <w:t>3、</w:t>
      </w:r>
      <w:r>
        <w:rPr>
          <w:rFonts w:hint="eastAsia" w:ascii="宋体" w:hAnsi="宋体" w:cs="宋体"/>
          <w:sz w:val="24"/>
          <w:szCs w:val="24"/>
          <w:lang w:eastAsia="zh-CN"/>
        </w:rPr>
        <w:t>需</w:t>
      </w:r>
      <w:r>
        <w:rPr>
          <w:rFonts w:hint="eastAsia" w:ascii="宋体" w:hAnsi="宋体" w:cs="宋体"/>
          <w:sz w:val="24"/>
          <w:szCs w:val="24"/>
          <w:lang w:val="en-US" w:eastAsia="zh-CN"/>
        </w:rPr>
        <w:t>1部</w:t>
      </w:r>
      <w:r>
        <w:rPr>
          <w:rFonts w:hint="eastAsia" w:ascii="宋体" w:hAnsi="宋体" w:eastAsia="宋体" w:cs="宋体"/>
          <w:sz w:val="24"/>
          <w:szCs w:val="24"/>
          <w:lang w:eastAsia="zh-CN"/>
        </w:rPr>
        <w:t>罐车</w:t>
      </w:r>
      <w:r>
        <w:rPr>
          <w:rFonts w:hint="eastAsia" w:ascii="宋体" w:hAnsi="宋体" w:cs="宋体"/>
          <w:sz w:val="24"/>
          <w:szCs w:val="24"/>
          <w:lang w:val="en-US" w:eastAsia="zh-CN"/>
        </w:rPr>
        <w:t xml:space="preserve"> </w:t>
      </w:r>
      <w:r>
        <w:rPr>
          <w:rFonts w:hint="eastAsia" w:ascii="宋体" w:hAnsi="宋体" w:cs="宋体"/>
          <w:sz w:val="24"/>
          <w:szCs w:val="24"/>
          <w:lang w:eastAsia="zh-CN"/>
        </w:rPr>
        <w:t>，</w:t>
      </w:r>
      <w:r>
        <w:rPr>
          <w:rFonts w:hint="eastAsia" w:ascii="宋体" w:hAnsi="宋体" w:cs="宋体"/>
          <w:sz w:val="24"/>
          <w:szCs w:val="24"/>
          <w:lang w:val="en-US" w:eastAsia="zh-CN"/>
        </w:rPr>
        <w:t>24小时作业。</w:t>
      </w:r>
    </w:p>
    <w:p>
      <w:pPr>
        <w:ind w:firstLine="480" w:firstLineChars="200"/>
        <w:jc w:val="both"/>
        <w:rPr>
          <w:rFonts w:hint="eastAsia" w:ascii="宋体" w:hAnsi="宋体"/>
        </w:rPr>
      </w:pPr>
      <w:r>
        <w:rPr>
          <w:rFonts w:hint="eastAsia" w:ascii="宋体" w:hAnsi="宋体"/>
        </w:rPr>
        <w:t>联系人及电话：</w:t>
      </w:r>
    </w:p>
    <w:p>
      <w:pPr>
        <w:ind w:firstLine="600" w:firstLineChars="250"/>
        <w:rPr>
          <w:rFonts w:hint="default" w:ascii="宋体" w:hAnsi="宋体"/>
          <w:lang w:val="en-US" w:eastAsia="zh-CN"/>
        </w:rPr>
      </w:pPr>
      <w:r>
        <w:rPr>
          <w:rFonts w:hint="eastAsia" w:ascii="宋体" w:hAnsi="宋体"/>
        </w:rPr>
        <w:t xml:space="preserve">招标办：  </w:t>
      </w:r>
      <w:r>
        <w:rPr>
          <w:rFonts w:hint="eastAsia" w:ascii="宋体" w:hAnsi="宋体"/>
          <w:lang w:val="en-US" w:eastAsia="zh-CN"/>
        </w:rPr>
        <w:t xml:space="preserve">     </w:t>
      </w:r>
      <w:r>
        <w:rPr>
          <w:rFonts w:hint="eastAsia" w:ascii="宋体" w:hAnsi="宋体"/>
        </w:rPr>
        <w:t xml:space="preserve"> </w:t>
      </w:r>
      <w:r>
        <w:rPr>
          <w:rFonts w:hint="eastAsia" w:ascii="宋体" w:hAnsi="宋体"/>
          <w:lang w:val="en-US" w:eastAsia="zh-CN"/>
        </w:rPr>
        <w:t>陈  工</w:t>
      </w:r>
      <w:r>
        <w:rPr>
          <w:rFonts w:hint="eastAsia" w:ascii="宋体" w:hAnsi="宋体"/>
        </w:rPr>
        <w:t xml:space="preserve">  </w:t>
      </w:r>
      <w:r>
        <w:rPr>
          <w:rFonts w:hint="eastAsia" w:ascii="宋体" w:hAnsi="宋体"/>
          <w:lang w:val="en-US" w:eastAsia="zh-CN"/>
        </w:rPr>
        <w:t xml:space="preserve">    18010798830</w:t>
      </w:r>
    </w:p>
    <w:p>
      <w:pPr>
        <w:ind w:firstLine="600" w:firstLineChars="250"/>
        <w:rPr>
          <w:rFonts w:hint="eastAsia" w:ascii="宋体" w:hAnsi="宋体"/>
        </w:rPr>
      </w:pPr>
      <w:r>
        <w:rPr>
          <w:rFonts w:hint="eastAsia" w:ascii="宋体" w:hAnsi="宋体"/>
          <w:lang w:val="en-US" w:eastAsia="zh-CN"/>
        </w:rPr>
        <w:t>运输</w:t>
      </w:r>
      <w:r>
        <w:rPr>
          <w:rFonts w:hint="eastAsia" w:ascii="宋体" w:hAnsi="宋体"/>
          <w:lang w:eastAsia="zh-CN"/>
        </w:rPr>
        <w:t>部</w:t>
      </w:r>
      <w:r>
        <w:rPr>
          <w:rFonts w:hint="eastAsia" w:ascii="宋体" w:hAnsi="宋体"/>
        </w:rPr>
        <w:t xml:space="preserve">：    </w:t>
      </w:r>
      <w:r>
        <w:rPr>
          <w:rFonts w:hint="eastAsia" w:ascii="宋体" w:hAnsi="宋体"/>
          <w:lang w:val="en-US" w:eastAsia="zh-CN"/>
        </w:rPr>
        <w:t xml:space="preserve">    陈  工  </w:t>
      </w:r>
      <w:r>
        <w:rPr>
          <w:rFonts w:hint="eastAsia" w:ascii="宋体" w:hAnsi="宋体"/>
        </w:rPr>
        <w:t xml:space="preserve">   </w:t>
      </w:r>
      <w:r>
        <w:rPr>
          <w:rFonts w:hint="eastAsia" w:ascii="宋体" w:hAnsi="宋体"/>
          <w:lang w:val="en-US" w:eastAsia="zh-CN"/>
        </w:rPr>
        <w:t xml:space="preserve"> 18955389312</w:t>
      </w:r>
      <w:r>
        <w:rPr>
          <w:rFonts w:hint="eastAsia" w:ascii="宋体" w:hAnsi="宋体" w:eastAsia="宋体" w:cs="宋体"/>
          <w:b w:val="0"/>
          <w:bCs w:val="0"/>
          <w:kern w:val="2"/>
          <w:sz w:val="24"/>
          <w:szCs w:val="24"/>
          <w:lang w:val="en-US" w:eastAsia="zh-CN" w:bidi="ar-SA"/>
        </w:rPr>
        <w:t xml:space="preserve">  </w:t>
      </w:r>
    </w:p>
    <w:p>
      <w:pPr>
        <w:spacing w:line="300" w:lineRule="auto"/>
        <w:ind w:firstLine="600"/>
        <w:rPr>
          <w:rFonts w:hint="default" w:ascii="宋体" w:hAnsi="宋体" w:eastAsia="宋体"/>
          <w:b w:val="0"/>
          <w:bCs/>
          <w:color w:val="auto"/>
          <w:lang w:val="en-US" w:eastAsia="zh-CN"/>
        </w:rPr>
      </w:pPr>
      <w:r>
        <w:rPr>
          <w:rFonts w:hint="eastAsia" w:ascii="宋体" w:hAnsi="宋体"/>
          <w:b w:val="0"/>
          <w:bCs/>
          <w:color w:val="000000"/>
        </w:rPr>
        <w:t>所有参标单位必须报名，报名截止日期为</w:t>
      </w:r>
      <w:r>
        <w:rPr>
          <w:rFonts w:hint="eastAsia" w:ascii="宋体" w:hAnsi="宋体"/>
          <w:b w:val="0"/>
          <w:bCs/>
          <w:color w:val="auto"/>
          <w:u w:val="single"/>
          <w:lang w:val="en-US" w:eastAsia="zh-CN"/>
        </w:rPr>
        <w:t>2020</w:t>
      </w:r>
      <w:r>
        <w:rPr>
          <w:rFonts w:ascii="宋体" w:hAnsi="宋体"/>
          <w:b w:val="0"/>
          <w:bCs/>
          <w:color w:val="auto"/>
        </w:rPr>
        <w:t>年</w:t>
      </w:r>
      <w:r>
        <w:rPr>
          <w:rFonts w:hint="eastAsia" w:ascii="宋体" w:hAnsi="宋体"/>
          <w:b w:val="0"/>
          <w:bCs/>
          <w:color w:val="auto"/>
          <w:u w:val="single"/>
          <w:lang w:val="en-US" w:eastAsia="zh-CN"/>
        </w:rPr>
        <w:t>10</w:t>
      </w:r>
      <w:r>
        <w:rPr>
          <w:rFonts w:ascii="宋体" w:hAnsi="宋体"/>
          <w:b w:val="0"/>
          <w:bCs/>
          <w:color w:val="auto"/>
        </w:rPr>
        <w:t>月</w:t>
      </w:r>
      <w:r>
        <w:rPr>
          <w:rFonts w:hint="eastAsia" w:ascii="宋体" w:hAnsi="宋体"/>
          <w:b w:val="0"/>
          <w:bCs/>
          <w:color w:val="auto"/>
          <w:u w:val="single"/>
          <w:lang w:val="en-US" w:eastAsia="zh-CN"/>
        </w:rPr>
        <w:t>14</w:t>
      </w:r>
      <w:r>
        <w:rPr>
          <w:rFonts w:ascii="宋体" w:hAnsi="宋体"/>
          <w:b w:val="0"/>
          <w:bCs/>
          <w:color w:val="auto"/>
        </w:rPr>
        <w:t>日</w:t>
      </w:r>
      <w:r>
        <w:rPr>
          <w:rFonts w:hint="eastAsia" w:ascii="宋体" w:hAnsi="宋体"/>
          <w:b w:val="0"/>
          <w:bCs/>
          <w:color w:val="auto"/>
          <w:u w:val="single"/>
        </w:rPr>
        <w:t xml:space="preserve"> </w:t>
      </w:r>
      <w:r>
        <w:rPr>
          <w:rFonts w:hint="eastAsia" w:ascii="宋体" w:hAnsi="宋体"/>
          <w:b w:val="0"/>
          <w:bCs/>
          <w:color w:val="auto"/>
          <w:u w:val="single"/>
          <w:lang w:val="en-US" w:eastAsia="zh-CN"/>
        </w:rPr>
        <w:t>下午16:30</w:t>
      </w:r>
      <w:r>
        <w:rPr>
          <w:rFonts w:hint="eastAsia" w:ascii="宋体" w:hAnsi="宋体"/>
          <w:b w:val="0"/>
          <w:bCs/>
          <w:color w:val="auto"/>
        </w:rPr>
        <w:t>逾期不报名者将不允许参加招标。</w:t>
      </w:r>
    </w:p>
    <w:p>
      <w:pPr>
        <w:spacing w:line="300" w:lineRule="auto"/>
        <w:ind w:firstLine="600"/>
        <w:rPr>
          <w:rFonts w:hint="eastAsia" w:ascii="宋体" w:hAnsi="宋体"/>
          <w:b/>
          <w:color w:val="000000"/>
        </w:rPr>
      </w:pPr>
      <w:r>
        <w:rPr>
          <w:rFonts w:hint="eastAsia" w:ascii="宋体" w:hAnsi="宋体"/>
          <w:b w:val="0"/>
          <w:bCs/>
          <w:color w:val="auto"/>
          <w:lang w:val="en-US" w:eastAsia="zh-CN"/>
        </w:rPr>
        <w:t>本项目开</w:t>
      </w:r>
      <w:r>
        <w:rPr>
          <w:rFonts w:hint="eastAsia" w:ascii="宋体" w:hAnsi="宋体"/>
          <w:b w:val="0"/>
          <w:bCs/>
          <w:color w:val="auto"/>
        </w:rPr>
        <w:t>标日期定于</w:t>
      </w:r>
      <w:r>
        <w:rPr>
          <w:rFonts w:ascii="宋体" w:hAnsi="宋体"/>
          <w:b w:val="0"/>
          <w:bCs/>
          <w:color w:val="auto"/>
        </w:rPr>
        <w:t xml:space="preserve"> </w:t>
      </w:r>
      <w:r>
        <w:rPr>
          <w:rFonts w:hint="eastAsia" w:ascii="宋体" w:hAnsi="宋体"/>
          <w:b w:val="0"/>
          <w:bCs/>
          <w:color w:val="auto"/>
          <w:u w:val="single"/>
          <w:lang w:val="en-US" w:eastAsia="zh-CN"/>
        </w:rPr>
        <w:t>2020</w:t>
      </w:r>
      <w:r>
        <w:rPr>
          <w:rFonts w:ascii="宋体" w:hAnsi="宋体"/>
          <w:b w:val="0"/>
          <w:bCs/>
          <w:color w:val="auto"/>
        </w:rPr>
        <w:t>年</w:t>
      </w:r>
      <w:r>
        <w:rPr>
          <w:rFonts w:hint="eastAsia" w:ascii="宋体" w:hAnsi="宋体"/>
          <w:b w:val="0"/>
          <w:bCs/>
          <w:color w:val="auto"/>
          <w:u w:val="single"/>
          <w:lang w:val="en-US" w:eastAsia="zh-CN"/>
        </w:rPr>
        <w:t>10</w:t>
      </w:r>
      <w:r>
        <w:rPr>
          <w:rFonts w:ascii="宋体" w:hAnsi="宋体"/>
          <w:b w:val="0"/>
          <w:bCs/>
          <w:color w:val="auto"/>
        </w:rPr>
        <w:t>月</w:t>
      </w:r>
      <w:r>
        <w:rPr>
          <w:rFonts w:hint="eastAsia" w:ascii="宋体" w:hAnsi="宋体"/>
          <w:b w:val="0"/>
          <w:bCs/>
          <w:color w:val="auto"/>
          <w:u w:val="single"/>
          <w:lang w:val="en-US" w:eastAsia="zh-CN"/>
        </w:rPr>
        <w:t>16</w:t>
      </w:r>
      <w:r>
        <w:rPr>
          <w:rFonts w:ascii="宋体" w:hAnsi="宋体"/>
          <w:b w:val="0"/>
          <w:bCs/>
          <w:color w:val="auto"/>
        </w:rPr>
        <w:t>日</w:t>
      </w:r>
      <w:r>
        <w:rPr>
          <w:rFonts w:hint="eastAsia" w:ascii="宋体" w:hAnsi="宋体"/>
          <w:b w:val="0"/>
          <w:bCs/>
          <w:color w:val="auto"/>
          <w:u w:val="single"/>
          <w:lang w:val="en-US" w:eastAsia="zh-CN"/>
        </w:rPr>
        <w:t>14:00</w:t>
      </w:r>
      <w:r>
        <w:rPr>
          <w:rFonts w:hint="eastAsia" w:ascii="宋体" w:hAnsi="宋体"/>
          <w:b w:val="0"/>
          <w:bCs/>
          <w:color w:val="auto"/>
        </w:rPr>
        <w:t>，在芜湖新兴铸管有限责任公司三山工业园区招标办会议室</w:t>
      </w:r>
      <w:r>
        <w:rPr>
          <w:rFonts w:hint="eastAsia" w:ascii="宋体" w:hAnsi="宋体"/>
          <w:b w:val="0"/>
          <w:bCs/>
          <w:color w:val="auto"/>
          <w:lang w:val="en-US" w:eastAsia="zh-CN"/>
        </w:rPr>
        <w:t>301</w:t>
      </w:r>
      <w:r>
        <w:rPr>
          <w:rFonts w:ascii="宋体" w:hAnsi="宋体"/>
          <w:b w:val="0"/>
          <w:bCs/>
          <w:color w:val="auto"/>
        </w:rPr>
        <w:t>准时举行</w:t>
      </w:r>
      <w:r>
        <w:rPr>
          <w:rFonts w:ascii="宋体" w:hAnsi="宋体"/>
          <w:b w:val="0"/>
          <w:bCs/>
          <w:color w:val="000000"/>
        </w:rPr>
        <w:t>。</w:t>
      </w:r>
    </w:p>
    <w:p>
      <w:pPr>
        <w:ind w:firstLine="2640" w:firstLineChars="1100"/>
        <w:rPr>
          <w:rFonts w:ascii="宋体" w:hAnsi="宋体"/>
          <w:sz w:val="24"/>
          <w:szCs w:val="24"/>
        </w:rPr>
      </w:pPr>
      <w:r>
        <w:rPr>
          <w:rFonts w:hint="eastAsia" w:ascii="宋体" w:hAnsi="宋体"/>
          <w:sz w:val="24"/>
          <w:szCs w:val="24"/>
        </w:rPr>
        <w:t>单位名称：芜湖新兴铸管有限责任公司</w:t>
      </w:r>
      <w:r>
        <w:rPr>
          <w:rFonts w:ascii="宋体" w:hAnsi="宋体"/>
          <w:sz w:val="24"/>
          <w:szCs w:val="24"/>
        </w:rPr>
        <w:t xml:space="preserve">         </w:t>
      </w:r>
    </w:p>
    <w:p>
      <w:pPr>
        <w:ind w:firstLine="2640" w:firstLineChars="1100"/>
        <w:rPr>
          <w:rFonts w:ascii="宋体" w:hAnsi="宋体"/>
          <w:sz w:val="24"/>
          <w:szCs w:val="24"/>
        </w:rPr>
      </w:pPr>
      <w:r>
        <w:rPr>
          <w:rFonts w:hint="eastAsia" w:ascii="宋体" w:hAnsi="宋体"/>
          <w:sz w:val="24"/>
          <w:szCs w:val="24"/>
        </w:rPr>
        <w:t>单位地址：芜湖市三山区春洲路2号</w:t>
      </w:r>
      <w:r>
        <w:rPr>
          <w:rFonts w:ascii="宋体" w:hAnsi="宋体"/>
          <w:sz w:val="24"/>
          <w:szCs w:val="24"/>
        </w:rPr>
        <w:t xml:space="preserve">              </w:t>
      </w:r>
    </w:p>
    <w:p>
      <w:pPr>
        <w:ind w:firstLine="2640" w:firstLineChars="1100"/>
        <w:rPr>
          <w:rFonts w:ascii="宋体" w:hAnsi="宋体"/>
          <w:sz w:val="24"/>
          <w:szCs w:val="24"/>
        </w:rPr>
      </w:pPr>
      <w:r>
        <w:rPr>
          <w:rFonts w:hint="eastAsia" w:ascii="宋体" w:hAnsi="宋体"/>
          <w:sz w:val="24"/>
          <w:szCs w:val="24"/>
        </w:rPr>
        <w:t>开</w:t>
      </w:r>
      <w:r>
        <w:rPr>
          <w:rFonts w:ascii="宋体" w:hAnsi="宋体"/>
          <w:sz w:val="24"/>
          <w:szCs w:val="24"/>
        </w:rPr>
        <w:t xml:space="preserve"> </w:t>
      </w:r>
      <w:r>
        <w:rPr>
          <w:rFonts w:hint="eastAsia" w:ascii="宋体" w:hAnsi="宋体"/>
          <w:sz w:val="24"/>
          <w:szCs w:val="24"/>
        </w:rPr>
        <w:t>户</w:t>
      </w:r>
      <w:r>
        <w:rPr>
          <w:rFonts w:ascii="宋体" w:hAnsi="宋体"/>
          <w:sz w:val="24"/>
          <w:szCs w:val="24"/>
        </w:rPr>
        <w:t xml:space="preserve"> </w:t>
      </w:r>
      <w:r>
        <w:rPr>
          <w:rFonts w:hint="eastAsia" w:ascii="宋体" w:hAnsi="宋体"/>
          <w:sz w:val="24"/>
          <w:szCs w:val="24"/>
        </w:rPr>
        <w:t>行：工行环办</w:t>
      </w:r>
    </w:p>
    <w:p>
      <w:pPr>
        <w:ind w:firstLine="2640" w:firstLineChars="1100"/>
        <w:rPr>
          <w:rFonts w:hint="eastAsia" w:ascii="宋体" w:hAnsi="宋体"/>
          <w:sz w:val="24"/>
          <w:szCs w:val="24"/>
        </w:rPr>
      </w:pPr>
      <w:r>
        <w:rPr>
          <w:rFonts w:hint="eastAsia" w:ascii="宋体" w:hAnsi="宋体"/>
          <w:sz w:val="24"/>
          <w:szCs w:val="24"/>
        </w:rPr>
        <w:t>帐</w:t>
      </w:r>
      <w:r>
        <w:rPr>
          <w:rFonts w:ascii="宋体" w:hAnsi="宋体"/>
          <w:sz w:val="24"/>
          <w:szCs w:val="24"/>
        </w:rPr>
        <w:t xml:space="preserve">    </w:t>
      </w:r>
      <w:r>
        <w:rPr>
          <w:rFonts w:hint="eastAsia" w:ascii="宋体" w:hAnsi="宋体"/>
          <w:sz w:val="24"/>
          <w:szCs w:val="24"/>
        </w:rPr>
        <w:t>号：1307023219000109264</w:t>
      </w:r>
    </w:p>
    <w:p>
      <w:pPr>
        <w:ind w:firstLine="2640" w:firstLineChars="1100"/>
        <w:rPr>
          <w:rFonts w:ascii="宋体" w:hAnsi="宋体"/>
          <w:sz w:val="24"/>
          <w:szCs w:val="24"/>
        </w:rPr>
      </w:pPr>
      <w:r>
        <w:rPr>
          <w:rFonts w:hint="eastAsia" w:ascii="宋体" w:hAnsi="宋体"/>
          <w:sz w:val="24"/>
          <w:szCs w:val="24"/>
        </w:rPr>
        <w:t>电</w:t>
      </w:r>
      <w:r>
        <w:rPr>
          <w:rFonts w:ascii="宋体" w:hAnsi="宋体"/>
          <w:sz w:val="24"/>
          <w:szCs w:val="24"/>
        </w:rPr>
        <w:t xml:space="preserve">    话：0553-</w:t>
      </w:r>
      <w:r>
        <w:rPr>
          <w:rFonts w:hint="eastAsia" w:ascii="宋体" w:hAnsi="宋体"/>
          <w:sz w:val="24"/>
          <w:szCs w:val="24"/>
        </w:rPr>
        <w:t>56985</w:t>
      </w:r>
      <w:r>
        <w:rPr>
          <w:rFonts w:hint="eastAsia" w:ascii="宋体" w:hAnsi="宋体"/>
          <w:sz w:val="24"/>
          <w:szCs w:val="24"/>
          <w:lang w:val="en-US" w:eastAsia="zh-CN"/>
        </w:rPr>
        <w:t>28</w:t>
      </w:r>
      <w:r>
        <w:rPr>
          <w:rFonts w:ascii="宋体" w:hAnsi="宋体"/>
          <w:sz w:val="24"/>
          <w:szCs w:val="24"/>
        </w:rPr>
        <w:t xml:space="preserve">                  </w:t>
      </w:r>
    </w:p>
    <w:p>
      <w:pPr>
        <w:ind w:firstLine="2640" w:firstLineChars="1100"/>
        <w:rPr>
          <w:rFonts w:ascii="宋体" w:hAnsi="宋体"/>
          <w:sz w:val="24"/>
          <w:szCs w:val="24"/>
        </w:rPr>
      </w:pPr>
      <w:r>
        <w:rPr>
          <w:rFonts w:hint="eastAsia" w:ascii="宋体" w:hAnsi="宋体"/>
          <w:sz w:val="24"/>
          <w:szCs w:val="24"/>
        </w:rPr>
        <w:t>邮</w:t>
      </w:r>
      <w:r>
        <w:rPr>
          <w:rFonts w:ascii="宋体" w:hAnsi="宋体"/>
          <w:sz w:val="24"/>
          <w:szCs w:val="24"/>
        </w:rPr>
        <w:t xml:space="preserve">    编：241002                          </w:t>
      </w:r>
    </w:p>
    <w:p>
      <w:pPr>
        <w:snapToGrid w:val="0"/>
        <w:spacing w:line="300" w:lineRule="auto"/>
        <w:rPr>
          <w:rFonts w:hint="eastAsia" w:ascii="宋体" w:hAnsi="宋体" w:eastAsia="宋体"/>
          <w:sz w:val="24"/>
          <w:szCs w:val="24"/>
          <w:lang w:eastAsia="zh-CN"/>
        </w:rPr>
      </w:pPr>
      <w:r>
        <w:rPr>
          <w:rFonts w:ascii="宋体" w:hAnsi="宋体"/>
          <w:sz w:val="24"/>
          <w:szCs w:val="24"/>
        </w:rPr>
        <w:t xml:space="preserve">              </w:t>
      </w:r>
      <w:r>
        <w:rPr>
          <w:rFonts w:hint="eastAsia" w:ascii="宋体" w:hAnsi="宋体"/>
          <w:sz w:val="24"/>
          <w:szCs w:val="24"/>
          <w:lang w:val="en-US" w:eastAsia="zh-CN"/>
        </w:rPr>
        <w:t xml:space="preserve">        </w:t>
      </w:r>
      <w:r>
        <w:rPr>
          <w:rFonts w:hint="eastAsia" w:ascii="宋体" w:hAnsi="宋体"/>
          <w:sz w:val="24"/>
          <w:szCs w:val="24"/>
        </w:rPr>
        <w:t>联</w:t>
      </w:r>
      <w:r>
        <w:rPr>
          <w:rFonts w:ascii="宋体" w:hAnsi="宋体"/>
          <w:sz w:val="24"/>
          <w:szCs w:val="24"/>
        </w:rPr>
        <w:t xml:space="preserve"> 系 人：</w:t>
      </w:r>
      <w:r>
        <w:rPr>
          <w:rFonts w:hint="eastAsia" w:ascii="宋体" w:hAnsi="宋体"/>
          <w:sz w:val="24"/>
          <w:szCs w:val="24"/>
          <w:lang w:val="en-US" w:eastAsia="zh-CN"/>
        </w:rPr>
        <w:t>陈凯</w:t>
      </w:r>
    </w:p>
    <w:p>
      <w:pPr>
        <w:snapToGrid w:val="0"/>
        <w:spacing w:line="300" w:lineRule="auto"/>
        <w:rPr>
          <w:rFonts w:hint="eastAsia" w:ascii="宋体" w:hAnsi="宋体"/>
          <w:b/>
          <w:bCs/>
        </w:rPr>
      </w:pPr>
      <w:r>
        <w:rPr>
          <w:rFonts w:hint="eastAsia" w:ascii="宋体" w:hAnsi="宋体"/>
          <w:sz w:val="24"/>
          <w:szCs w:val="24"/>
        </w:rPr>
        <w:t xml:space="preserve">             </w:t>
      </w:r>
      <w:r>
        <w:rPr>
          <w:rFonts w:hint="eastAsia" w:ascii="宋体" w:hAnsi="宋体"/>
          <w:sz w:val="24"/>
          <w:szCs w:val="24"/>
          <w:lang w:val="en-US" w:eastAsia="zh-CN"/>
        </w:rPr>
        <w:t xml:space="preserve">        </w:t>
      </w:r>
      <w:r>
        <w:rPr>
          <w:rFonts w:hint="eastAsia" w:ascii="宋体" w:hAnsi="宋体"/>
          <w:sz w:val="24"/>
          <w:szCs w:val="24"/>
        </w:rPr>
        <w:t xml:space="preserve"> 邮    箱：chenkai0324@163.com</w:t>
      </w:r>
    </w:p>
    <w:p>
      <w:pPr>
        <w:rPr>
          <w:rFonts w:hint="eastAsia" w:ascii="宋体" w:hAnsi="宋体"/>
          <w:b/>
          <w:bCs/>
        </w:rPr>
      </w:pPr>
    </w:p>
    <w:p>
      <w:pPr>
        <w:rPr>
          <w:rFonts w:hint="eastAsia" w:ascii="宋体" w:hAnsi="宋体"/>
          <w:b/>
          <w:bCs/>
        </w:rPr>
      </w:pPr>
    </w:p>
    <w:p>
      <w:pPr>
        <w:tabs>
          <w:tab w:val="left" w:pos="420"/>
          <w:tab w:val="left" w:pos="630"/>
        </w:tabs>
        <w:spacing w:line="300" w:lineRule="auto"/>
        <w:jc w:val="both"/>
        <w:rPr>
          <w:rFonts w:hint="eastAsia" w:ascii="宋体" w:hAnsi="宋体"/>
          <w:b/>
          <w:bCs/>
          <w:sz w:val="24"/>
          <w:szCs w:val="24"/>
        </w:rPr>
      </w:pPr>
      <w:r>
        <w:rPr>
          <w:rFonts w:hint="eastAsia" w:ascii="宋体" w:hAnsi="宋体"/>
          <w:b/>
          <w:bCs/>
          <w:sz w:val="24"/>
          <w:szCs w:val="24"/>
        </w:rPr>
        <w:t>详见以下附件：</w:t>
      </w:r>
    </w:p>
    <w:p>
      <w:pPr>
        <w:tabs>
          <w:tab w:val="left" w:pos="420"/>
          <w:tab w:val="left" w:pos="630"/>
        </w:tabs>
        <w:spacing w:line="300" w:lineRule="auto"/>
        <w:jc w:val="both"/>
        <w:rPr>
          <w:rFonts w:hint="eastAsia" w:ascii="宋体" w:hAnsi="宋体"/>
          <w:b/>
          <w:bCs/>
          <w:color w:val="4F81BD"/>
          <w:sz w:val="22"/>
          <w:szCs w:val="22"/>
          <w:lang w:val="en-US" w:eastAsia="zh-CN"/>
        </w:rPr>
      </w:pPr>
      <w:r>
        <w:rPr>
          <w:rFonts w:hint="eastAsia" w:ascii="宋体" w:hAnsi="宋体"/>
          <w:b/>
          <w:bCs/>
          <w:color w:val="4F81BD"/>
          <w:sz w:val="22"/>
          <w:szCs w:val="22"/>
          <w:lang w:val="en-US" w:eastAsia="zh-CN"/>
        </w:rPr>
        <w:t>附件1：投标人须知及要求；</w:t>
      </w:r>
    </w:p>
    <w:p>
      <w:pPr>
        <w:tabs>
          <w:tab w:val="left" w:pos="420"/>
          <w:tab w:val="left" w:pos="630"/>
        </w:tabs>
        <w:spacing w:line="300" w:lineRule="auto"/>
        <w:jc w:val="both"/>
        <w:rPr>
          <w:rFonts w:hint="eastAsia" w:ascii="宋体" w:hAnsi="宋体"/>
          <w:b/>
          <w:bCs/>
          <w:color w:val="4F81BD"/>
          <w:sz w:val="22"/>
          <w:szCs w:val="22"/>
          <w:lang w:val="en-US" w:eastAsia="zh-CN"/>
        </w:rPr>
      </w:pPr>
      <w:r>
        <w:rPr>
          <w:rFonts w:hint="eastAsia" w:ascii="宋体" w:hAnsi="宋体"/>
          <w:b/>
          <w:bCs/>
          <w:color w:val="4F81BD"/>
          <w:sz w:val="22"/>
          <w:szCs w:val="22"/>
          <w:lang w:val="en-US" w:eastAsia="zh-CN"/>
        </w:rPr>
        <w:t>附件2：报名函、委托授权书、公平交易承诺函；</w:t>
      </w:r>
    </w:p>
    <w:p/>
    <w:p/>
    <w:p>
      <w:pPr>
        <w:tabs>
          <w:tab w:val="left" w:pos="420"/>
          <w:tab w:val="left" w:pos="630"/>
        </w:tabs>
        <w:spacing w:line="300" w:lineRule="auto"/>
        <w:jc w:val="center"/>
        <w:rPr>
          <w:rFonts w:hint="eastAsia" w:ascii="宋体" w:hAnsi="宋体"/>
          <w:color w:val="FF0000"/>
        </w:rPr>
      </w:pPr>
      <w:r>
        <w:rPr>
          <w:rFonts w:hint="eastAsia" w:ascii="隶书" w:hAnsi="宋体" w:eastAsia="隶书"/>
          <w:sz w:val="36"/>
        </w:rPr>
        <w:t>投标人须知及要求</w:t>
      </w:r>
    </w:p>
    <w:p>
      <w:pPr>
        <w:widowControl w:val="0"/>
        <w:numPr>
          <w:ilvl w:val="0"/>
          <w:numId w:val="1"/>
        </w:numPr>
        <w:spacing w:line="240" w:lineRule="auto"/>
        <w:jc w:val="both"/>
        <w:rPr>
          <w:rFonts w:ascii="宋体" w:hAnsi="宋体"/>
          <w:b/>
        </w:rPr>
      </w:pPr>
      <w:r>
        <w:rPr>
          <w:rFonts w:hint="eastAsia" w:ascii="宋体" w:hAnsi="宋体"/>
          <w:b/>
        </w:rPr>
        <w:t>一般要求</w:t>
      </w:r>
    </w:p>
    <w:p>
      <w:pPr>
        <w:pStyle w:val="3"/>
        <w:spacing w:line="240" w:lineRule="auto"/>
        <w:ind w:left="480"/>
        <w:rPr>
          <w:rFonts w:ascii="宋体" w:hAnsi="宋体"/>
          <w:b/>
          <w:bCs/>
        </w:rPr>
      </w:pPr>
      <w:r>
        <w:rPr>
          <w:rFonts w:ascii="宋体" w:hAnsi="宋体"/>
        </w:rPr>
        <w:t xml:space="preserve">    </w:t>
      </w:r>
      <w:r>
        <w:rPr>
          <w:rFonts w:hint="eastAsia" w:ascii="宋体" w:hAnsi="宋体"/>
        </w:rPr>
        <w:t>投标人应当严格按照招标文件所规定的格式和内容要求编制投标文件，逐项逐条回答招标文件，顺序和编号应与招标文件一致。可以增加说明或描述性文字。投标文件对招标文件未提出异议的条款，均被视为接受和同意。</w:t>
      </w:r>
    </w:p>
    <w:p>
      <w:pPr>
        <w:widowControl w:val="0"/>
        <w:numPr>
          <w:ilvl w:val="0"/>
          <w:numId w:val="1"/>
        </w:numPr>
        <w:spacing w:line="240" w:lineRule="auto"/>
        <w:jc w:val="both"/>
        <w:rPr>
          <w:rFonts w:hint="eastAsia" w:ascii="宋体" w:hAnsi="宋体"/>
          <w:b/>
        </w:rPr>
      </w:pPr>
      <w:r>
        <w:rPr>
          <w:rFonts w:hint="eastAsia" w:ascii="宋体" w:hAnsi="宋体"/>
          <w:b/>
        </w:rPr>
        <w:t>投标保证金</w:t>
      </w:r>
    </w:p>
    <w:p>
      <w:pPr>
        <w:tabs>
          <w:tab w:val="left" w:pos="420"/>
          <w:tab w:val="left" w:pos="630"/>
        </w:tabs>
        <w:spacing w:line="240" w:lineRule="auto"/>
        <w:ind w:left="480" w:leftChars="200" w:firstLine="480" w:firstLineChars="200"/>
        <w:rPr>
          <w:rFonts w:hint="eastAsia" w:ascii="宋体" w:hAnsi="宋体"/>
          <w:bCs/>
          <w:sz w:val="32"/>
        </w:rPr>
      </w:pPr>
      <w:r>
        <w:rPr>
          <w:rFonts w:hint="eastAsia" w:ascii="宋体" w:hAnsi="宋体"/>
          <w:bCs/>
        </w:rPr>
        <w:t>本次招标收取</w:t>
      </w:r>
      <w:r>
        <w:rPr>
          <w:rFonts w:hint="eastAsia" w:ascii="宋体" w:hAnsi="宋体"/>
          <w:bCs/>
          <w:color w:val="0000FF"/>
          <w:u w:val="single"/>
        </w:rPr>
        <w:t>投标保证金</w:t>
      </w:r>
      <w:r>
        <w:rPr>
          <w:rFonts w:hint="eastAsia" w:ascii="宋体" w:hAnsi="宋体"/>
          <w:b/>
          <w:bCs w:val="0"/>
          <w:color w:val="FF0000"/>
          <w:u w:val="single"/>
          <w:lang w:val="en-US" w:eastAsia="zh-CN"/>
        </w:rPr>
        <w:t>肆仟元整</w:t>
      </w:r>
      <w:r>
        <w:rPr>
          <w:rFonts w:hint="eastAsia" w:ascii="宋体" w:hAnsi="宋体"/>
          <w:bCs/>
          <w:color w:val="0000FF"/>
          <w:u w:val="single"/>
        </w:rPr>
        <w:t>（电汇，基本账户汇款）</w:t>
      </w:r>
      <w:r>
        <w:rPr>
          <w:rFonts w:hint="eastAsia" w:ascii="宋体" w:hAnsi="宋体"/>
          <w:bCs/>
        </w:rPr>
        <w:t>，投标人需在</w:t>
      </w:r>
      <w:r>
        <w:rPr>
          <w:rFonts w:hint="eastAsia" w:ascii="宋体" w:hAnsi="宋体"/>
          <w:bCs/>
          <w:color w:val="7030A0"/>
          <w:u w:val="single"/>
          <w:lang w:val="en-US" w:eastAsia="zh-CN"/>
        </w:rPr>
        <w:t>2020</w:t>
      </w:r>
      <w:r>
        <w:rPr>
          <w:rFonts w:hint="eastAsia" w:ascii="宋体" w:hAnsi="宋体"/>
          <w:bCs/>
          <w:color w:val="7030A0"/>
        </w:rPr>
        <w:t xml:space="preserve">年 </w:t>
      </w:r>
      <w:r>
        <w:rPr>
          <w:rFonts w:hint="eastAsia" w:ascii="宋体" w:hAnsi="宋体"/>
          <w:bCs/>
          <w:color w:val="7030A0"/>
          <w:u w:val="single"/>
          <w:lang w:val="en-US" w:eastAsia="zh-CN"/>
        </w:rPr>
        <w:t>10</w:t>
      </w:r>
      <w:r>
        <w:rPr>
          <w:rFonts w:hint="eastAsia" w:ascii="宋体" w:hAnsi="宋体"/>
          <w:bCs/>
          <w:color w:val="7030A0"/>
        </w:rPr>
        <w:t>月</w:t>
      </w:r>
      <w:r>
        <w:rPr>
          <w:rFonts w:hint="eastAsia" w:ascii="宋体" w:hAnsi="宋体"/>
          <w:bCs/>
          <w:color w:val="7030A0"/>
          <w:u w:val="single"/>
          <w:lang w:val="en-US" w:eastAsia="zh-CN"/>
        </w:rPr>
        <w:t>14</w:t>
      </w:r>
      <w:bookmarkStart w:id="0" w:name="_GoBack"/>
      <w:bookmarkEnd w:id="0"/>
      <w:r>
        <w:rPr>
          <w:rFonts w:hint="eastAsia" w:ascii="宋体" w:hAnsi="宋体"/>
          <w:bCs/>
          <w:color w:val="7030A0"/>
        </w:rPr>
        <w:t>日</w:t>
      </w:r>
      <w:r>
        <w:rPr>
          <w:rFonts w:hint="eastAsia" w:ascii="宋体" w:hAnsi="宋体"/>
          <w:bCs/>
          <w:color w:val="7030A0"/>
          <w:u w:val="single"/>
          <w:lang w:val="en-US" w:eastAsia="zh-CN"/>
        </w:rPr>
        <w:t>16:30</w:t>
      </w:r>
      <w:r>
        <w:rPr>
          <w:rFonts w:hint="eastAsia" w:ascii="宋体" w:hAnsi="宋体"/>
          <w:bCs/>
          <w:color w:val="7030A0"/>
        </w:rPr>
        <w:t>点前</w:t>
      </w:r>
      <w:r>
        <w:rPr>
          <w:rFonts w:hint="eastAsia" w:ascii="宋体" w:hAnsi="宋体"/>
          <w:bCs/>
        </w:rPr>
        <w:t>缴纳此费用（否则视为自动放弃投标资格），注明投标保证金。如未中标，发包人将会无息退还此费用(60日内)，如中标，则在履约保证金足额缴纳后退还。</w:t>
      </w:r>
    </w:p>
    <w:p>
      <w:pPr>
        <w:spacing w:line="240" w:lineRule="auto"/>
        <w:ind w:firstLine="1680" w:firstLineChars="700"/>
        <w:rPr>
          <w:rFonts w:ascii="宋体" w:hAnsi="宋体"/>
          <w:bCs/>
        </w:rPr>
      </w:pPr>
      <w:r>
        <w:rPr>
          <w:rFonts w:hint="eastAsia" w:ascii="宋体" w:hAnsi="宋体"/>
          <w:bCs/>
        </w:rPr>
        <w:t>单位名称：芜湖新兴铸管有限责任公司</w:t>
      </w:r>
      <w:r>
        <w:rPr>
          <w:rFonts w:ascii="宋体" w:hAnsi="宋体"/>
          <w:bCs/>
        </w:rPr>
        <w:t xml:space="preserve">         </w:t>
      </w:r>
    </w:p>
    <w:p>
      <w:pPr>
        <w:spacing w:line="240" w:lineRule="auto"/>
        <w:ind w:firstLine="1680" w:firstLineChars="700"/>
        <w:rPr>
          <w:rFonts w:hint="eastAsia" w:ascii="宋体" w:hAnsi="宋体"/>
          <w:bCs/>
        </w:rPr>
      </w:pPr>
      <w:r>
        <w:rPr>
          <w:rFonts w:hint="eastAsia" w:ascii="宋体" w:hAnsi="宋体"/>
          <w:bCs/>
        </w:rPr>
        <w:t>单位地址：芜湖市</w:t>
      </w:r>
      <w:r>
        <w:rPr>
          <w:rFonts w:ascii="宋体" w:hAnsi="宋体"/>
          <w:bCs/>
        </w:rPr>
        <w:t>三山区经济开发区</w:t>
      </w:r>
      <w:r>
        <w:rPr>
          <w:rFonts w:hint="eastAsia" w:ascii="宋体" w:hAnsi="宋体"/>
          <w:bCs/>
        </w:rPr>
        <w:t>春洲路2号</w:t>
      </w:r>
    </w:p>
    <w:p>
      <w:pPr>
        <w:spacing w:line="240" w:lineRule="auto"/>
        <w:ind w:firstLine="1680" w:firstLineChars="700"/>
        <w:rPr>
          <w:rFonts w:ascii="宋体" w:hAnsi="宋体"/>
          <w:bCs/>
        </w:rPr>
      </w:pPr>
      <w:r>
        <w:rPr>
          <w:rFonts w:hint="eastAsia" w:ascii="宋体" w:hAnsi="宋体"/>
          <w:bCs/>
        </w:rPr>
        <w:t>开</w:t>
      </w:r>
      <w:r>
        <w:rPr>
          <w:rFonts w:ascii="宋体" w:hAnsi="宋体"/>
          <w:bCs/>
        </w:rPr>
        <w:t xml:space="preserve"> </w:t>
      </w:r>
      <w:r>
        <w:rPr>
          <w:rFonts w:hint="eastAsia" w:ascii="宋体" w:hAnsi="宋体"/>
          <w:bCs/>
        </w:rPr>
        <w:t>户</w:t>
      </w:r>
      <w:r>
        <w:rPr>
          <w:rFonts w:ascii="宋体" w:hAnsi="宋体"/>
          <w:bCs/>
        </w:rPr>
        <w:t xml:space="preserve"> </w:t>
      </w:r>
      <w:r>
        <w:rPr>
          <w:rFonts w:hint="eastAsia" w:ascii="宋体" w:hAnsi="宋体"/>
          <w:bCs/>
        </w:rPr>
        <w:t>行：工商银行环城路支行（工行环办）</w:t>
      </w:r>
    </w:p>
    <w:p>
      <w:pPr>
        <w:spacing w:line="240" w:lineRule="auto"/>
        <w:ind w:firstLine="1680" w:firstLineChars="700"/>
        <w:rPr>
          <w:rFonts w:hint="eastAsia" w:ascii="宋体" w:hAnsi="宋体"/>
          <w:bCs/>
        </w:rPr>
      </w:pPr>
      <w:r>
        <w:rPr>
          <w:rFonts w:hint="eastAsia" w:ascii="宋体" w:hAnsi="宋体"/>
          <w:bCs/>
        </w:rPr>
        <w:t>帐</w:t>
      </w:r>
      <w:r>
        <w:rPr>
          <w:rFonts w:ascii="宋体" w:hAnsi="宋体"/>
          <w:bCs/>
        </w:rPr>
        <w:t xml:space="preserve">    </w:t>
      </w:r>
      <w:r>
        <w:rPr>
          <w:rFonts w:hint="eastAsia" w:ascii="宋体" w:hAnsi="宋体"/>
          <w:bCs/>
        </w:rPr>
        <w:t>号：1307023219000109264</w:t>
      </w:r>
    </w:p>
    <w:p>
      <w:pPr>
        <w:spacing w:line="240" w:lineRule="auto"/>
        <w:ind w:firstLine="482" w:firstLineChars="200"/>
        <w:rPr>
          <w:rFonts w:hint="default" w:ascii="宋体" w:hAnsi="宋体" w:eastAsia="宋体"/>
          <w:b/>
          <w:bCs w:val="0"/>
          <w:lang w:val="en-US" w:eastAsia="zh-CN"/>
        </w:rPr>
      </w:pPr>
      <w:r>
        <w:rPr>
          <w:rFonts w:hint="eastAsia" w:ascii="宋体" w:hAnsi="宋体"/>
          <w:b/>
          <w:bCs w:val="0"/>
          <w:lang w:val="en-US" w:eastAsia="zh-CN"/>
        </w:rPr>
        <w:t>中标单位需缴纳60万元安全履约保障金。</w:t>
      </w:r>
    </w:p>
    <w:p>
      <w:pPr>
        <w:widowControl w:val="0"/>
        <w:numPr>
          <w:ilvl w:val="0"/>
          <w:numId w:val="1"/>
        </w:numPr>
        <w:spacing w:line="240" w:lineRule="auto"/>
        <w:jc w:val="both"/>
        <w:rPr>
          <w:rFonts w:ascii="宋体" w:hAnsi="宋体"/>
          <w:b/>
        </w:rPr>
      </w:pPr>
      <w:r>
        <w:rPr>
          <w:rFonts w:hint="eastAsia" w:ascii="宋体" w:hAnsi="宋体"/>
          <w:b/>
        </w:rPr>
        <w:t>投标文件的语言</w:t>
      </w:r>
    </w:p>
    <w:p>
      <w:pPr>
        <w:spacing w:line="240" w:lineRule="auto"/>
        <w:ind w:left="571" w:leftChars="238" w:firstLine="480" w:firstLineChars="200"/>
        <w:rPr>
          <w:rFonts w:ascii="宋体" w:hAnsi="宋体"/>
        </w:rPr>
      </w:pPr>
      <w:r>
        <w:rPr>
          <w:rFonts w:hint="eastAsia" w:ascii="宋体" w:hAnsi="宋体"/>
        </w:rPr>
        <w:t>投标文件应用中文编写；度量衡采用国家法定单位制（即国际单位制）；货币采用人民币。</w:t>
      </w:r>
    </w:p>
    <w:p>
      <w:pPr>
        <w:widowControl w:val="0"/>
        <w:numPr>
          <w:ilvl w:val="0"/>
          <w:numId w:val="1"/>
        </w:numPr>
        <w:spacing w:line="240" w:lineRule="auto"/>
        <w:jc w:val="both"/>
        <w:rPr>
          <w:rFonts w:ascii="宋体" w:hAnsi="宋体"/>
          <w:b/>
        </w:rPr>
      </w:pPr>
      <w:r>
        <w:rPr>
          <w:rFonts w:hint="eastAsia" w:ascii="宋体" w:hAnsi="宋体"/>
          <w:b/>
        </w:rPr>
        <w:t>投标有效期</w:t>
      </w:r>
    </w:p>
    <w:p>
      <w:pPr>
        <w:spacing w:line="240" w:lineRule="auto"/>
        <w:ind w:firstLine="1020" w:firstLineChars="425"/>
        <w:rPr>
          <w:rFonts w:ascii="宋体" w:hAnsi="宋体"/>
        </w:rPr>
      </w:pPr>
      <w:r>
        <w:rPr>
          <w:rFonts w:hint="eastAsia" w:ascii="宋体" w:hAnsi="宋体"/>
        </w:rPr>
        <w:t>投标有效期:90天。</w:t>
      </w:r>
    </w:p>
    <w:p>
      <w:pPr>
        <w:widowControl w:val="0"/>
        <w:numPr>
          <w:ilvl w:val="0"/>
          <w:numId w:val="1"/>
        </w:numPr>
        <w:spacing w:line="240" w:lineRule="auto"/>
        <w:jc w:val="both"/>
        <w:rPr>
          <w:rFonts w:ascii="宋体" w:hAnsi="宋体"/>
          <w:b/>
        </w:rPr>
      </w:pPr>
      <w:r>
        <w:rPr>
          <w:rFonts w:hint="eastAsia" w:ascii="宋体" w:hAnsi="宋体"/>
          <w:b/>
        </w:rPr>
        <w:t>投标人要求</w:t>
      </w:r>
    </w:p>
    <w:p>
      <w:pPr>
        <w:widowControl w:val="0"/>
        <w:numPr>
          <w:ilvl w:val="0"/>
          <w:numId w:val="2"/>
        </w:numPr>
        <w:spacing w:line="240" w:lineRule="auto"/>
        <w:ind w:left="285" w:leftChars="0"/>
        <w:jc w:val="both"/>
        <w:rPr>
          <w:rFonts w:ascii="宋体" w:hAnsi="宋体"/>
        </w:rPr>
      </w:pPr>
      <w:r>
        <w:rPr>
          <w:rFonts w:hint="eastAsia" w:ascii="宋体" w:hAnsi="宋体"/>
        </w:rPr>
        <w:t>合格的投标人应具有圆满履行合同的能力，具体应符合下列条件：</w:t>
      </w:r>
    </w:p>
    <w:p>
      <w:pPr>
        <w:widowControl w:val="0"/>
        <w:numPr>
          <w:ilvl w:val="0"/>
          <w:numId w:val="3"/>
        </w:numPr>
        <w:tabs>
          <w:tab w:val="left" w:pos="1125"/>
        </w:tabs>
        <w:spacing w:line="240" w:lineRule="auto"/>
        <w:ind w:left="1265" w:leftChars="0" w:hanging="425" w:firstLineChars="0"/>
        <w:jc w:val="both"/>
        <w:rPr>
          <w:rFonts w:ascii="宋体" w:hAnsi="宋体"/>
        </w:rPr>
      </w:pPr>
      <w:r>
        <w:rPr>
          <w:rFonts w:hint="eastAsia" w:ascii="宋体" w:hAnsi="宋体"/>
        </w:rPr>
        <w:t>具有独立订立合同的权利。</w:t>
      </w:r>
    </w:p>
    <w:p>
      <w:pPr>
        <w:widowControl w:val="0"/>
        <w:numPr>
          <w:ilvl w:val="0"/>
          <w:numId w:val="3"/>
        </w:numPr>
        <w:tabs>
          <w:tab w:val="left" w:pos="1125"/>
        </w:tabs>
        <w:spacing w:line="240" w:lineRule="auto"/>
        <w:ind w:left="1265" w:leftChars="0" w:hanging="425" w:firstLineChars="0"/>
        <w:jc w:val="both"/>
        <w:rPr>
          <w:rFonts w:hint="eastAsia" w:ascii="宋体" w:hAnsi="宋体"/>
          <w:color w:val="FF0000"/>
        </w:rPr>
      </w:pPr>
      <w:r>
        <w:rPr>
          <w:rFonts w:hint="eastAsia" w:ascii="宋体" w:hAnsi="宋体"/>
        </w:rPr>
        <w:t>必须有</w:t>
      </w:r>
      <w:r>
        <w:rPr>
          <w:rFonts w:hint="eastAsia" w:ascii="宋体" w:hAnsi="宋体"/>
          <w:lang w:val="en-US" w:eastAsia="zh-CN"/>
        </w:rPr>
        <w:t>履约</w:t>
      </w:r>
      <w:r>
        <w:rPr>
          <w:rFonts w:hint="eastAsia" w:ascii="宋体" w:hAnsi="宋体"/>
        </w:rPr>
        <w:t>能力和一定垫资能力。</w:t>
      </w:r>
    </w:p>
    <w:p>
      <w:pPr>
        <w:widowControl w:val="0"/>
        <w:numPr>
          <w:ilvl w:val="0"/>
          <w:numId w:val="3"/>
        </w:numPr>
        <w:tabs>
          <w:tab w:val="left" w:pos="1125"/>
        </w:tabs>
        <w:spacing w:line="240" w:lineRule="auto"/>
        <w:ind w:left="1265" w:leftChars="0" w:hanging="425" w:firstLineChars="0"/>
        <w:jc w:val="both"/>
        <w:rPr>
          <w:rFonts w:ascii="宋体" w:hAnsi="宋体"/>
        </w:rPr>
      </w:pPr>
      <w:r>
        <w:rPr>
          <w:rFonts w:hint="eastAsia" w:ascii="宋体" w:hAnsi="宋体"/>
        </w:rPr>
        <w:t>具有</w:t>
      </w:r>
      <w:r>
        <w:rPr>
          <w:rFonts w:ascii="宋体" w:hAnsi="宋体"/>
        </w:rPr>
        <w:t>法律、法规</w:t>
      </w:r>
      <w:r>
        <w:rPr>
          <w:rFonts w:hint="eastAsia" w:ascii="宋体" w:hAnsi="宋体"/>
        </w:rPr>
        <w:t>和招标人</w:t>
      </w:r>
      <w:r>
        <w:rPr>
          <w:rFonts w:ascii="宋体" w:hAnsi="宋体"/>
        </w:rPr>
        <w:t>规定的其他条件</w:t>
      </w:r>
      <w:r>
        <w:rPr>
          <w:rFonts w:hint="eastAsia" w:ascii="宋体" w:hAnsi="宋体"/>
        </w:rPr>
        <w:t>。</w:t>
      </w:r>
    </w:p>
    <w:p>
      <w:pPr>
        <w:widowControl w:val="0"/>
        <w:numPr>
          <w:ilvl w:val="0"/>
          <w:numId w:val="3"/>
        </w:numPr>
        <w:spacing w:line="240" w:lineRule="auto"/>
        <w:ind w:left="1265" w:leftChars="0" w:hanging="425" w:firstLineChars="0"/>
        <w:jc w:val="both"/>
        <w:rPr>
          <w:rFonts w:hint="eastAsia" w:ascii="宋体" w:hAnsi="宋体"/>
        </w:rPr>
      </w:pPr>
      <w:r>
        <w:rPr>
          <w:rFonts w:hint="eastAsia" w:ascii="宋体" w:hAnsi="宋体"/>
          <w:color w:val="00B0F0"/>
        </w:rPr>
        <w:t>投标单位中标后须按我公司安全管理制度执行。</w:t>
      </w:r>
    </w:p>
    <w:p>
      <w:pPr>
        <w:widowControl w:val="0"/>
        <w:numPr>
          <w:ilvl w:val="0"/>
          <w:numId w:val="2"/>
        </w:numPr>
        <w:tabs>
          <w:tab w:val="left" w:pos="705"/>
        </w:tabs>
        <w:spacing w:line="240" w:lineRule="auto"/>
        <w:ind w:left="285" w:leftChars="0" w:firstLine="0" w:firstLineChars="0"/>
        <w:jc w:val="both"/>
        <w:rPr>
          <w:rFonts w:hint="eastAsia" w:ascii="宋体" w:hAnsi="宋体"/>
        </w:rPr>
      </w:pPr>
      <w:r>
        <w:rPr>
          <w:rFonts w:hint="eastAsia" w:ascii="宋体" w:hAnsi="宋体"/>
        </w:rPr>
        <w:t>投标人</w:t>
      </w:r>
      <w:r>
        <w:rPr>
          <w:rFonts w:hint="eastAsia" w:ascii="宋体" w:hAnsi="宋体" w:cs="宋体"/>
        </w:rPr>
        <w:t>应</w:t>
      </w:r>
      <w:r>
        <w:rPr>
          <w:rFonts w:hint="eastAsia" w:ascii="宋体" w:hAnsi="宋体"/>
        </w:rPr>
        <w:t>提供下列文件和资料：</w:t>
      </w:r>
    </w:p>
    <w:p>
      <w:pPr>
        <w:widowControl w:val="0"/>
        <w:spacing w:line="240" w:lineRule="auto"/>
        <w:ind w:left="420" w:firstLine="60" w:firstLineChars="25"/>
        <w:jc w:val="both"/>
        <w:rPr>
          <w:rFonts w:hint="eastAsia" w:ascii="宋体" w:hAnsi="宋体"/>
        </w:rPr>
      </w:pPr>
      <w:r>
        <w:rPr>
          <w:rFonts w:hint="eastAsia" w:ascii="宋体" w:hAnsi="宋体"/>
        </w:rPr>
        <w:t>(1)商务文件：</w:t>
      </w:r>
    </w:p>
    <w:p>
      <w:pPr>
        <w:widowControl w:val="0"/>
        <w:numPr>
          <w:ilvl w:val="0"/>
          <w:numId w:val="4"/>
        </w:numPr>
        <w:spacing w:line="240" w:lineRule="auto"/>
        <w:ind w:firstLine="120"/>
        <w:jc w:val="both"/>
        <w:rPr>
          <w:rFonts w:hint="eastAsia" w:ascii="宋体" w:hAnsi="宋体"/>
        </w:rPr>
      </w:pPr>
      <w:r>
        <w:rPr>
          <w:rFonts w:hint="eastAsia" w:ascii="宋体" w:hAnsi="宋体"/>
        </w:rPr>
        <w:t>投标人法定代表人授权及授权代表身份证复印件。</w:t>
      </w:r>
    </w:p>
    <w:p>
      <w:pPr>
        <w:widowControl w:val="0"/>
        <w:numPr>
          <w:ilvl w:val="0"/>
          <w:numId w:val="4"/>
        </w:numPr>
        <w:spacing w:line="240" w:lineRule="auto"/>
        <w:ind w:firstLine="120"/>
        <w:jc w:val="both"/>
        <w:rPr>
          <w:rFonts w:ascii="宋体" w:hAnsi="宋体"/>
        </w:rPr>
      </w:pPr>
      <w:r>
        <w:rPr>
          <w:rFonts w:hint="eastAsia" w:ascii="宋体" w:hAnsi="宋体"/>
        </w:rPr>
        <w:t>近几年内与此项目相关的业绩合同。</w:t>
      </w:r>
    </w:p>
    <w:p>
      <w:pPr>
        <w:widowControl w:val="0"/>
        <w:numPr>
          <w:ilvl w:val="0"/>
          <w:numId w:val="4"/>
        </w:numPr>
        <w:spacing w:line="240" w:lineRule="auto"/>
        <w:ind w:firstLine="120"/>
        <w:jc w:val="both"/>
        <w:rPr>
          <w:rFonts w:hint="eastAsia" w:ascii="宋体" w:hAnsi="宋体"/>
        </w:rPr>
      </w:pPr>
      <w:r>
        <w:rPr>
          <w:rFonts w:hint="eastAsia" w:ascii="宋体" w:hAnsi="宋体"/>
        </w:rPr>
        <w:t>投标有效期</w:t>
      </w:r>
      <w:r>
        <w:rPr>
          <w:rFonts w:hint="eastAsia" w:ascii="宋体" w:hAnsi="宋体"/>
          <w:bCs/>
          <w:color w:val="000000"/>
        </w:rPr>
        <w:t>。</w:t>
      </w:r>
    </w:p>
    <w:p>
      <w:pPr>
        <w:widowControl w:val="0"/>
        <w:numPr>
          <w:ilvl w:val="0"/>
          <w:numId w:val="4"/>
        </w:numPr>
        <w:spacing w:line="240" w:lineRule="auto"/>
        <w:ind w:firstLine="120"/>
        <w:jc w:val="both"/>
        <w:rPr>
          <w:rFonts w:hint="eastAsia" w:ascii="宋体" w:hAnsi="宋体"/>
          <w:bCs/>
          <w:color w:val="000000"/>
        </w:rPr>
      </w:pPr>
      <w:r>
        <w:rPr>
          <w:rFonts w:hint="eastAsia" w:ascii="宋体" w:hAnsi="宋体"/>
        </w:rPr>
        <w:t>企业法人营业执照及企业通过的相关体系认证文件等。</w:t>
      </w:r>
    </w:p>
    <w:p>
      <w:pPr>
        <w:widowControl w:val="0"/>
        <w:spacing w:line="240" w:lineRule="auto"/>
        <w:ind w:left="480"/>
        <w:jc w:val="both"/>
        <w:rPr>
          <w:rFonts w:hint="eastAsia" w:ascii="宋体" w:hAnsi="宋体"/>
          <w:bCs/>
          <w:color w:val="000000"/>
        </w:rPr>
      </w:pPr>
      <w:r>
        <w:rPr>
          <w:rFonts w:hint="eastAsia" w:ascii="宋体" w:hAnsi="宋体"/>
          <w:bCs/>
          <w:color w:val="000000"/>
        </w:rPr>
        <w:t>(2)技术文件：包括投标方案及其说明等。</w:t>
      </w:r>
    </w:p>
    <w:p>
      <w:pPr>
        <w:widowControl w:val="0"/>
        <w:spacing w:line="240" w:lineRule="auto"/>
        <w:ind w:left="480"/>
        <w:jc w:val="both"/>
        <w:rPr>
          <w:rFonts w:ascii="宋体" w:hAnsi="宋体"/>
          <w:bCs/>
          <w:color w:val="000000"/>
        </w:rPr>
      </w:pPr>
      <w:r>
        <w:rPr>
          <w:rFonts w:hint="eastAsia" w:ascii="宋体" w:hAnsi="宋体"/>
          <w:bCs/>
          <w:color w:val="000000"/>
        </w:rPr>
        <w:t>(3)价格文件：一份即可，必须单独密封。投标人必须填写投标报价表；</w:t>
      </w:r>
    </w:p>
    <w:p>
      <w:pPr>
        <w:widowControl w:val="0"/>
        <w:spacing w:line="240" w:lineRule="auto"/>
        <w:ind w:left="480"/>
        <w:jc w:val="both"/>
        <w:rPr>
          <w:rFonts w:ascii="宋体" w:hAnsi="宋体"/>
          <w:color w:val="000000"/>
        </w:rPr>
      </w:pPr>
      <w:r>
        <w:rPr>
          <w:rFonts w:hint="eastAsia" w:ascii="宋体" w:hAnsi="宋体"/>
          <w:color w:val="000000"/>
        </w:rPr>
        <w:t>(4)其它文件：包括商务、技术或不满足招标文件的差异说明，招标文件要求具备的其他内容，以及投标人额外承诺或补充说明等。</w:t>
      </w:r>
    </w:p>
    <w:p>
      <w:pPr>
        <w:spacing w:line="240" w:lineRule="auto"/>
        <w:rPr>
          <w:rFonts w:ascii="宋体" w:hAnsi="宋体"/>
          <w:b/>
        </w:rPr>
      </w:pPr>
      <w:r>
        <w:rPr>
          <w:rFonts w:hint="eastAsia" w:ascii="宋体" w:hAnsi="宋体"/>
          <w:b/>
          <w:lang w:val="en-US" w:eastAsia="zh-CN"/>
        </w:rPr>
        <w:t>六</w:t>
      </w:r>
      <w:r>
        <w:rPr>
          <w:rFonts w:hint="eastAsia" w:ascii="宋体" w:hAnsi="宋体"/>
          <w:b/>
        </w:rPr>
        <w:t>、投标费用</w:t>
      </w:r>
    </w:p>
    <w:p>
      <w:pPr>
        <w:spacing w:line="240" w:lineRule="auto"/>
        <w:ind w:left="480" w:leftChars="200"/>
        <w:rPr>
          <w:rFonts w:hint="eastAsia" w:ascii="宋体" w:hAnsi="宋体"/>
        </w:rPr>
      </w:pPr>
      <w:r>
        <w:rPr>
          <w:rFonts w:hint="eastAsia" w:ascii="宋体" w:hAnsi="宋体"/>
        </w:rPr>
        <w:t>无论投标过程中的做法和结果如何，投标人承担所有与准备递交投标文件有关的费用，芜湖新兴铸管有限责任公司在任何情况下不负担这些费用。</w:t>
      </w:r>
    </w:p>
    <w:p>
      <w:pPr>
        <w:numPr>
          <w:ilvl w:val="0"/>
          <w:numId w:val="0"/>
        </w:numPr>
        <w:spacing w:line="240" w:lineRule="auto"/>
        <w:ind w:leftChars="0"/>
        <w:rPr>
          <w:rFonts w:hint="eastAsia" w:ascii="宋体" w:hAnsi="宋体"/>
          <w:b/>
        </w:rPr>
      </w:pPr>
      <w:r>
        <w:rPr>
          <w:rFonts w:hint="eastAsia" w:ascii="宋体" w:hAnsi="宋体"/>
          <w:b/>
          <w:lang w:val="en-US" w:eastAsia="zh-CN"/>
        </w:rPr>
        <w:t>七、</w:t>
      </w:r>
      <w:r>
        <w:rPr>
          <w:rFonts w:hint="eastAsia" w:ascii="宋体" w:hAnsi="宋体"/>
          <w:b/>
        </w:rPr>
        <w:t>投标人建议</w:t>
      </w:r>
    </w:p>
    <w:p>
      <w:pPr>
        <w:spacing w:line="240" w:lineRule="auto"/>
        <w:ind w:left="480" w:leftChars="200"/>
        <w:rPr>
          <w:rFonts w:ascii="宋体" w:hAnsi="宋体"/>
        </w:rPr>
      </w:pPr>
      <w:r>
        <w:rPr>
          <w:rFonts w:hint="eastAsia" w:ascii="宋体" w:hAnsi="宋体"/>
        </w:rPr>
        <w:t>投标人可提出补充建议或说明，提出比招标文件的要求更为合理的方案。</w:t>
      </w:r>
    </w:p>
    <w:p>
      <w:pPr>
        <w:spacing w:line="240" w:lineRule="auto"/>
        <w:rPr>
          <w:rFonts w:ascii="宋体" w:hAnsi="宋体"/>
          <w:b/>
        </w:rPr>
      </w:pPr>
      <w:r>
        <w:rPr>
          <w:rFonts w:hint="eastAsia" w:ascii="宋体" w:hAnsi="宋体"/>
          <w:b/>
          <w:lang w:val="en-US" w:eastAsia="zh-CN"/>
        </w:rPr>
        <w:t>八</w:t>
      </w:r>
      <w:r>
        <w:rPr>
          <w:rFonts w:hint="eastAsia" w:ascii="宋体" w:hAnsi="宋体"/>
          <w:b/>
        </w:rPr>
        <w:t>、投标文件的份数和签署</w:t>
      </w:r>
    </w:p>
    <w:p>
      <w:pPr>
        <w:numPr>
          <w:ilvl w:val="0"/>
          <w:numId w:val="5"/>
        </w:numPr>
        <w:spacing w:line="240" w:lineRule="auto"/>
        <w:ind w:left="0" w:leftChars="0" w:firstLine="480" w:firstLineChars="200"/>
        <w:rPr>
          <w:rFonts w:ascii="宋体" w:hAnsi="宋体"/>
          <w:bCs/>
        </w:rPr>
      </w:pPr>
      <w:r>
        <w:rPr>
          <w:rFonts w:hint="eastAsia" w:ascii="宋体" w:hAnsi="宋体"/>
        </w:rPr>
        <w:t>标书</w:t>
      </w:r>
      <w:r>
        <w:rPr>
          <w:rFonts w:ascii="宋体" w:hAnsi="宋体"/>
        </w:rPr>
        <w:t>一式</w:t>
      </w:r>
      <w:r>
        <w:rPr>
          <w:rFonts w:hint="eastAsia" w:ascii="宋体" w:hAnsi="宋体"/>
        </w:rPr>
        <w:t>两</w:t>
      </w:r>
      <w:r>
        <w:rPr>
          <w:rFonts w:ascii="宋体" w:hAnsi="宋体"/>
        </w:rPr>
        <w:t>份，正本一份，副本</w:t>
      </w:r>
      <w:r>
        <w:rPr>
          <w:rFonts w:hint="eastAsia" w:ascii="宋体" w:hAnsi="宋体"/>
        </w:rPr>
        <w:t>一</w:t>
      </w:r>
      <w:r>
        <w:rPr>
          <w:rFonts w:ascii="宋体" w:hAnsi="宋体"/>
        </w:rPr>
        <w:t>份</w:t>
      </w:r>
      <w:r>
        <w:rPr>
          <w:rFonts w:hint="eastAsia" w:ascii="宋体" w:hAnsi="宋体"/>
          <w:bCs/>
        </w:rPr>
        <w:t>，价格文件：一份即可，必须单独密封。</w:t>
      </w:r>
    </w:p>
    <w:p>
      <w:pPr>
        <w:numPr>
          <w:ilvl w:val="0"/>
          <w:numId w:val="5"/>
        </w:numPr>
        <w:spacing w:line="240" w:lineRule="auto"/>
        <w:ind w:left="0" w:leftChars="0" w:firstLine="480" w:firstLineChars="200"/>
        <w:rPr>
          <w:rFonts w:ascii="宋体" w:hAnsi="宋体"/>
        </w:rPr>
      </w:pPr>
      <w:r>
        <w:rPr>
          <w:rFonts w:hint="eastAsia" w:ascii="宋体" w:hAnsi="宋体"/>
        </w:rPr>
        <w:t>标书、</w:t>
      </w:r>
      <w:r>
        <w:rPr>
          <w:rFonts w:ascii="宋体" w:hAnsi="宋体"/>
        </w:rPr>
        <w:t>报价表均加盖公章。</w:t>
      </w:r>
    </w:p>
    <w:p>
      <w:pPr>
        <w:spacing w:line="240" w:lineRule="auto"/>
        <w:rPr>
          <w:rFonts w:hint="eastAsia" w:ascii="宋体" w:hAnsi="宋体"/>
          <w:b/>
        </w:rPr>
      </w:pPr>
      <w:r>
        <w:rPr>
          <w:rFonts w:hint="eastAsia" w:ascii="宋体" w:hAnsi="宋体"/>
          <w:b/>
          <w:lang w:val="en-US" w:eastAsia="zh-CN"/>
        </w:rPr>
        <w:t>九</w:t>
      </w:r>
      <w:r>
        <w:rPr>
          <w:rFonts w:hint="eastAsia" w:ascii="宋体" w:hAnsi="宋体"/>
          <w:b/>
        </w:rPr>
        <w:t>、投标报价</w:t>
      </w:r>
    </w:p>
    <w:p>
      <w:pPr>
        <w:pStyle w:val="10"/>
        <w:numPr>
          <w:ilvl w:val="0"/>
          <w:numId w:val="6"/>
        </w:numPr>
        <w:spacing w:line="240" w:lineRule="auto"/>
        <w:ind w:left="0" w:leftChars="0" w:firstLine="480" w:firstLineChars="200"/>
        <w:rPr>
          <w:rFonts w:hint="eastAsia" w:ascii="宋体" w:hAnsi="宋体"/>
          <w:b w:val="0"/>
          <w:bCs w:val="0"/>
        </w:rPr>
      </w:pPr>
      <w:r>
        <w:rPr>
          <w:rFonts w:ascii="宋体" w:hAnsi="宋体"/>
          <w:b w:val="0"/>
          <w:bCs w:val="0"/>
        </w:rPr>
        <w:t>投标人应严格按照招标文件提供的格式认真填写价格表。</w:t>
      </w:r>
    </w:p>
    <w:p>
      <w:pPr>
        <w:pStyle w:val="10"/>
        <w:numPr>
          <w:ilvl w:val="0"/>
          <w:numId w:val="6"/>
        </w:numPr>
        <w:spacing w:line="240" w:lineRule="auto"/>
        <w:ind w:left="0" w:leftChars="0" w:firstLine="480" w:firstLineChars="200"/>
        <w:rPr>
          <w:rFonts w:hint="eastAsia" w:ascii="宋体" w:hAnsi="宋体"/>
        </w:rPr>
      </w:pPr>
      <w:r>
        <w:t>若单价</w:t>
      </w:r>
      <w:r>
        <w:rPr>
          <w:rFonts w:hint="eastAsia" w:ascii="宋体" w:hAnsi="宋体"/>
        </w:rPr>
        <w:t>（含分项报价）</w:t>
      </w:r>
      <w:r>
        <w:rPr>
          <w:rFonts w:ascii="宋体" w:hAnsi="宋体"/>
        </w:rPr>
        <w:t>和总价有差异，则以单价</w:t>
      </w:r>
      <w:r>
        <w:rPr>
          <w:rFonts w:hint="eastAsia" w:ascii="宋体" w:hAnsi="宋体"/>
        </w:rPr>
        <w:t>（含分项报价）</w:t>
      </w:r>
      <w:r>
        <w:rPr>
          <w:rFonts w:ascii="宋体" w:hAnsi="宋体"/>
        </w:rPr>
        <w:t>为准，并对总价进行修正；若数字和文字表示的金额之间有差异，则以文字金额为准，并对数字做相应的修正；若正本与副本有差异，则以正本为准。</w:t>
      </w:r>
    </w:p>
    <w:p>
      <w:pPr>
        <w:spacing w:line="240" w:lineRule="auto"/>
        <w:rPr>
          <w:rFonts w:ascii="宋体" w:hAnsi="宋体"/>
          <w:b/>
        </w:rPr>
      </w:pPr>
      <w:r>
        <w:rPr>
          <w:rFonts w:hint="eastAsia" w:ascii="宋体" w:hAnsi="宋体"/>
          <w:b/>
          <w:lang w:val="en-US" w:eastAsia="zh-CN"/>
        </w:rPr>
        <w:t>十</w:t>
      </w:r>
      <w:r>
        <w:rPr>
          <w:rFonts w:hint="eastAsia" w:ascii="宋体" w:hAnsi="宋体"/>
          <w:b/>
        </w:rPr>
        <w:t>、投标文件的递交</w:t>
      </w:r>
    </w:p>
    <w:p>
      <w:pPr>
        <w:numPr>
          <w:ilvl w:val="0"/>
          <w:numId w:val="7"/>
        </w:numPr>
        <w:spacing w:line="240" w:lineRule="auto"/>
        <w:ind w:left="0" w:leftChars="0" w:firstLine="480" w:firstLineChars="200"/>
        <w:rPr>
          <w:rFonts w:ascii="宋体" w:hAnsi="宋体"/>
        </w:rPr>
      </w:pPr>
      <w:r>
        <w:rPr>
          <w:rFonts w:ascii="宋体" w:hAnsi="宋体"/>
        </w:rPr>
        <w:t>投标文件有密封与标记</w:t>
      </w:r>
    </w:p>
    <w:p>
      <w:pPr>
        <w:numPr>
          <w:ilvl w:val="0"/>
          <w:numId w:val="7"/>
        </w:numPr>
        <w:tabs>
          <w:tab w:val="left" w:pos="360"/>
          <w:tab w:val="left" w:pos="720"/>
          <w:tab w:val="left" w:pos="1050"/>
        </w:tabs>
        <w:spacing w:line="240" w:lineRule="auto"/>
        <w:ind w:left="0" w:leftChars="0" w:firstLine="480" w:firstLineChars="200"/>
        <w:rPr>
          <w:rFonts w:hint="eastAsia" w:ascii="宋体" w:hAnsi="宋体"/>
        </w:rPr>
      </w:pPr>
      <w:r>
        <w:rPr>
          <w:rFonts w:ascii="宋体" w:hAnsi="宋体"/>
        </w:rPr>
        <w:t>投标文件的每份正本、副本均应用档案袋分别密封，密封上应加盖投标人公章。</w:t>
      </w:r>
    </w:p>
    <w:p>
      <w:pPr>
        <w:numPr>
          <w:ilvl w:val="0"/>
          <w:numId w:val="7"/>
        </w:numPr>
        <w:spacing w:line="240" w:lineRule="auto"/>
        <w:ind w:left="0" w:leftChars="0" w:firstLine="480" w:firstLineChars="200"/>
        <w:rPr>
          <w:rFonts w:hint="eastAsia" w:ascii="宋体" w:hAnsi="宋体"/>
        </w:rPr>
      </w:pPr>
      <w:r>
        <w:rPr>
          <w:rFonts w:ascii="宋体" w:hAnsi="宋体"/>
        </w:rPr>
        <w:t>投标商</w:t>
      </w:r>
      <w:r>
        <w:rPr>
          <w:rFonts w:hint="eastAsia" w:ascii="宋体" w:hAnsi="宋体"/>
        </w:rPr>
        <w:t>应在开标前将投标文件送达到指定地点，逾期未到的都将视为弃权。如因特殊客观原因，投标人应于开标前告知招标人，并得到其同意者除外。</w:t>
      </w:r>
    </w:p>
    <w:p>
      <w:pPr>
        <w:numPr>
          <w:ilvl w:val="0"/>
          <w:numId w:val="7"/>
        </w:numPr>
        <w:spacing w:line="240" w:lineRule="auto"/>
        <w:ind w:left="0" w:leftChars="0" w:firstLine="480" w:firstLineChars="200"/>
        <w:rPr>
          <w:rFonts w:ascii="宋体" w:hAnsi="宋体"/>
        </w:rPr>
      </w:pPr>
      <w:r>
        <w:rPr>
          <w:rFonts w:hint="eastAsia" w:ascii="宋体" w:hAnsi="宋体"/>
        </w:rPr>
        <w:t>投标人不得在开标当日至投标有效期满前撤回投标文件，否则其投标保证金将不予退还。</w:t>
      </w:r>
    </w:p>
    <w:p>
      <w:pPr>
        <w:tabs>
          <w:tab w:val="left" w:pos="735"/>
        </w:tabs>
        <w:spacing w:line="240" w:lineRule="auto"/>
        <w:rPr>
          <w:rFonts w:ascii="宋体" w:hAnsi="宋体"/>
          <w:b/>
        </w:rPr>
      </w:pPr>
      <w:r>
        <w:rPr>
          <w:rFonts w:hint="eastAsia" w:ascii="宋体" w:hAnsi="宋体"/>
          <w:b/>
        </w:rPr>
        <w:t>十一、无效投标</w:t>
      </w:r>
    </w:p>
    <w:p>
      <w:pPr>
        <w:tabs>
          <w:tab w:val="left" w:pos="735"/>
        </w:tabs>
        <w:spacing w:line="240" w:lineRule="auto"/>
        <w:ind w:firstLine="480" w:firstLineChars="200"/>
        <w:rPr>
          <w:rFonts w:hint="eastAsia" w:ascii="宋体" w:hAnsi="宋体"/>
        </w:rPr>
      </w:pPr>
      <w:r>
        <w:rPr>
          <w:rFonts w:hint="eastAsia" w:ascii="宋体" w:hAnsi="宋体"/>
        </w:rPr>
        <w:t>发生下列情况之一者，视为无效投标。</w:t>
      </w:r>
    </w:p>
    <w:p>
      <w:pPr>
        <w:numPr>
          <w:ilvl w:val="0"/>
          <w:numId w:val="8"/>
        </w:numPr>
        <w:spacing w:line="240" w:lineRule="auto"/>
        <w:ind w:left="0" w:firstLine="480" w:firstLineChars="200"/>
        <w:rPr>
          <w:rFonts w:hint="eastAsia" w:ascii="宋体" w:hAnsi="宋体"/>
          <w:bCs/>
        </w:rPr>
      </w:pPr>
      <w:r>
        <w:rPr>
          <w:rFonts w:hint="eastAsia" w:ascii="宋体" w:hAnsi="宋体"/>
          <w:bCs/>
        </w:rPr>
        <w:t>投标文件未按规定加盖公章和签字。</w:t>
      </w:r>
    </w:p>
    <w:p>
      <w:pPr>
        <w:numPr>
          <w:ilvl w:val="0"/>
          <w:numId w:val="8"/>
        </w:numPr>
        <w:spacing w:line="240" w:lineRule="auto"/>
        <w:ind w:left="0" w:firstLine="480" w:firstLineChars="200"/>
        <w:rPr>
          <w:rFonts w:hint="eastAsia" w:ascii="宋体" w:hAnsi="宋体"/>
          <w:bCs/>
        </w:rPr>
      </w:pPr>
      <w:r>
        <w:rPr>
          <w:rFonts w:hint="eastAsia" w:ascii="宋体" w:hAnsi="宋体"/>
          <w:bCs/>
        </w:rPr>
        <w:t>投标文件字迹模糊、无法辨认影响评标的。</w:t>
      </w:r>
    </w:p>
    <w:p>
      <w:pPr>
        <w:numPr>
          <w:ilvl w:val="0"/>
          <w:numId w:val="8"/>
        </w:numPr>
        <w:spacing w:line="240" w:lineRule="auto"/>
        <w:ind w:left="0" w:firstLine="480" w:firstLineChars="200"/>
        <w:rPr>
          <w:rFonts w:ascii="宋体" w:hAnsi="宋体"/>
          <w:bCs/>
        </w:rPr>
      </w:pPr>
      <w:r>
        <w:rPr>
          <w:rFonts w:hint="eastAsia" w:ascii="宋体" w:hAnsi="宋体"/>
          <w:bCs/>
        </w:rPr>
        <w:t>授权委托书未加盖单位公章和法定代表人印章（或签字）的。</w:t>
      </w:r>
    </w:p>
    <w:p>
      <w:pPr>
        <w:numPr>
          <w:ilvl w:val="0"/>
          <w:numId w:val="8"/>
        </w:numPr>
        <w:spacing w:line="240" w:lineRule="auto"/>
        <w:ind w:left="0" w:firstLine="480" w:firstLineChars="200"/>
        <w:rPr>
          <w:rFonts w:ascii="宋体" w:hAnsi="宋体"/>
          <w:bCs/>
        </w:rPr>
      </w:pPr>
      <w:r>
        <w:rPr>
          <w:rFonts w:hint="eastAsia"/>
        </w:rPr>
        <w:t>投标人以任何形式干扰招投标工作公开、公正进行的。</w:t>
      </w:r>
    </w:p>
    <w:p>
      <w:pPr>
        <w:numPr>
          <w:ilvl w:val="0"/>
          <w:numId w:val="8"/>
        </w:numPr>
        <w:spacing w:line="240" w:lineRule="auto"/>
        <w:ind w:left="0" w:firstLine="480" w:firstLineChars="200"/>
        <w:rPr>
          <w:rFonts w:hint="eastAsia" w:ascii="宋体" w:hAnsi="宋体"/>
          <w:bCs/>
        </w:rPr>
      </w:pPr>
      <w:r>
        <w:rPr>
          <w:rFonts w:hint="eastAsia" w:ascii="宋体" w:hAnsi="宋体"/>
          <w:bCs/>
        </w:rPr>
        <w:t>投标人企业资质不全或无资质的。</w:t>
      </w:r>
    </w:p>
    <w:p>
      <w:pPr>
        <w:numPr>
          <w:ilvl w:val="0"/>
          <w:numId w:val="8"/>
        </w:numPr>
        <w:spacing w:line="240" w:lineRule="auto"/>
        <w:ind w:left="0" w:firstLine="480" w:firstLineChars="200"/>
        <w:rPr>
          <w:rFonts w:hint="eastAsia" w:ascii="宋体" w:hAnsi="宋体"/>
          <w:bCs/>
        </w:rPr>
      </w:pPr>
      <w:r>
        <w:rPr>
          <w:rFonts w:hint="eastAsia" w:ascii="宋体" w:hAnsi="宋体"/>
          <w:bCs/>
        </w:rPr>
        <w:t>附有招标人不能接受的条件的。</w:t>
      </w:r>
    </w:p>
    <w:p>
      <w:pPr>
        <w:numPr>
          <w:ilvl w:val="0"/>
          <w:numId w:val="8"/>
        </w:numPr>
        <w:spacing w:line="240" w:lineRule="auto"/>
        <w:ind w:left="0" w:firstLine="480" w:firstLineChars="200"/>
        <w:rPr>
          <w:rFonts w:hint="eastAsia" w:ascii="宋体" w:hAnsi="宋体"/>
          <w:bCs/>
        </w:rPr>
      </w:pPr>
      <w:r>
        <w:rPr>
          <w:rFonts w:hint="eastAsia" w:ascii="宋体" w:hAnsi="宋体"/>
          <w:bCs/>
        </w:rPr>
        <w:t>在投标文件中有两个以上的报价，且未明确哪个报价有效。</w:t>
      </w:r>
    </w:p>
    <w:p>
      <w:pPr>
        <w:numPr>
          <w:ilvl w:val="0"/>
          <w:numId w:val="8"/>
        </w:numPr>
        <w:spacing w:line="240" w:lineRule="auto"/>
        <w:ind w:left="0" w:firstLine="480" w:firstLineChars="200"/>
        <w:rPr>
          <w:rFonts w:hint="eastAsia" w:ascii="宋体" w:hAnsi="宋体"/>
          <w:bCs/>
        </w:rPr>
      </w:pPr>
      <w:r>
        <w:rPr>
          <w:rFonts w:hint="eastAsia" w:ascii="宋体" w:hAnsi="宋体"/>
          <w:bCs/>
        </w:rPr>
        <w:t>以联合体方式投标而无共同投标协议的。</w:t>
      </w:r>
    </w:p>
    <w:p>
      <w:pPr>
        <w:numPr>
          <w:ilvl w:val="0"/>
          <w:numId w:val="8"/>
        </w:numPr>
        <w:spacing w:line="240" w:lineRule="auto"/>
        <w:ind w:left="0" w:firstLine="480" w:firstLineChars="200"/>
        <w:rPr>
          <w:rFonts w:hint="eastAsia" w:ascii="宋体" w:hAnsi="宋体"/>
          <w:bCs/>
        </w:rPr>
      </w:pPr>
      <w:r>
        <w:rPr>
          <w:rFonts w:hint="eastAsia" w:ascii="宋体" w:hAnsi="宋体"/>
          <w:bCs/>
        </w:rPr>
        <w:t>以他人名义投标的。</w:t>
      </w:r>
    </w:p>
    <w:p>
      <w:pPr>
        <w:numPr>
          <w:ilvl w:val="0"/>
          <w:numId w:val="8"/>
        </w:numPr>
        <w:spacing w:line="240" w:lineRule="auto"/>
        <w:ind w:left="0" w:firstLine="480" w:firstLineChars="200"/>
        <w:rPr>
          <w:rFonts w:hint="eastAsia" w:ascii="宋体" w:hAnsi="宋体"/>
          <w:bCs/>
        </w:rPr>
      </w:pPr>
      <w:r>
        <w:rPr>
          <w:rFonts w:hint="eastAsia" w:ascii="宋体" w:hAnsi="宋体"/>
          <w:bCs/>
        </w:rPr>
        <w:t>未按招标文件要求提交投标保证金的。</w:t>
      </w:r>
    </w:p>
    <w:p>
      <w:pPr>
        <w:numPr>
          <w:ilvl w:val="0"/>
          <w:numId w:val="8"/>
        </w:numPr>
        <w:spacing w:line="240" w:lineRule="auto"/>
        <w:ind w:left="0" w:firstLine="480" w:firstLineChars="200"/>
        <w:rPr>
          <w:rFonts w:hint="eastAsia" w:ascii="宋体" w:hAnsi="宋体"/>
          <w:bCs/>
        </w:rPr>
      </w:pPr>
      <w:r>
        <w:rPr>
          <w:rFonts w:hint="eastAsia" w:ascii="宋体" w:hAnsi="宋体"/>
          <w:bCs/>
        </w:rPr>
        <w:t>投标人串通投标、弄虚作假或者以行贿、欺骗等不正当手段谋取中标的。</w:t>
      </w:r>
    </w:p>
    <w:p>
      <w:pPr>
        <w:numPr>
          <w:ilvl w:val="0"/>
          <w:numId w:val="8"/>
        </w:numPr>
        <w:spacing w:line="240" w:lineRule="auto"/>
        <w:ind w:left="0" w:firstLine="480" w:firstLineChars="200"/>
        <w:rPr>
          <w:rFonts w:hint="eastAsia" w:ascii="宋体" w:hAnsi="宋体"/>
          <w:bCs/>
        </w:rPr>
      </w:pPr>
      <w:r>
        <w:rPr>
          <w:rFonts w:hint="eastAsia" w:ascii="宋体" w:hAnsi="宋体"/>
          <w:bCs/>
        </w:rPr>
        <w:t>投标文件与招标文件存在严重背离等其他问题的。</w:t>
      </w:r>
    </w:p>
    <w:p>
      <w:pPr>
        <w:spacing w:line="240" w:lineRule="auto"/>
        <w:rPr>
          <w:rFonts w:hint="eastAsia" w:ascii="宋体" w:hAnsi="宋体"/>
          <w:b/>
          <w:color w:val="auto"/>
          <w:sz w:val="24"/>
          <w:szCs w:val="24"/>
        </w:rPr>
      </w:pPr>
      <w:r>
        <w:rPr>
          <w:rFonts w:hint="eastAsia" w:ascii="宋体" w:hAnsi="宋体"/>
          <w:b/>
          <w:color w:val="auto"/>
          <w:sz w:val="24"/>
          <w:szCs w:val="24"/>
        </w:rPr>
        <w:t>十</w:t>
      </w:r>
      <w:r>
        <w:rPr>
          <w:rFonts w:hint="eastAsia" w:ascii="宋体" w:hAnsi="宋体"/>
          <w:b/>
          <w:color w:val="auto"/>
          <w:sz w:val="24"/>
          <w:szCs w:val="24"/>
          <w:lang w:val="en-US" w:eastAsia="zh-CN"/>
        </w:rPr>
        <w:t>二</w:t>
      </w:r>
      <w:r>
        <w:rPr>
          <w:rFonts w:hint="eastAsia" w:ascii="宋体" w:hAnsi="宋体"/>
          <w:b/>
          <w:color w:val="auto"/>
          <w:sz w:val="24"/>
          <w:szCs w:val="24"/>
        </w:rPr>
        <w:t>、评标标准</w:t>
      </w:r>
    </w:p>
    <w:p>
      <w:pPr>
        <w:numPr>
          <w:ilvl w:val="0"/>
          <w:numId w:val="9"/>
        </w:numPr>
        <w:spacing w:line="240" w:lineRule="auto"/>
        <w:ind w:left="845" w:leftChars="0" w:hanging="425" w:firstLineChars="0"/>
        <w:rPr>
          <w:rFonts w:hint="eastAsia"/>
          <w:color w:val="auto"/>
          <w:sz w:val="24"/>
          <w:szCs w:val="24"/>
        </w:rPr>
      </w:pPr>
      <w:r>
        <w:rPr>
          <w:rFonts w:hint="eastAsia"/>
          <w:color w:val="auto"/>
          <w:sz w:val="24"/>
          <w:szCs w:val="24"/>
        </w:rPr>
        <w:t>由评标委员会评分，按分数从高到低顺序推荐中标候选单位。</w:t>
      </w:r>
    </w:p>
    <w:p>
      <w:pPr>
        <w:numPr>
          <w:ilvl w:val="0"/>
          <w:numId w:val="9"/>
        </w:numPr>
        <w:spacing w:line="240" w:lineRule="auto"/>
        <w:ind w:left="845" w:leftChars="0" w:hanging="425"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本次采取综合评分方式进行评标。</w:t>
      </w:r>
    </w:p>
    <w:p>
      <w:pPr>
        <w:numPr>
          <w:ilvl w:val="0"/>
          <w:numId w:val="9"/>
        </w:numPr>
        <w:spacing w:line="240" w:lineRule="auto"/>
        <w:ind w:left="845" w:leftChars="0" w:hanging="425" w:firstLineChars="0"/>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本次招标采用一次报价开标。</w:t>
      </w:r>
    </w:p>
    <w:p>
      <w:pPr>
        <w:numPr>
          <w:ilvl w:val="0"/>
          <w:numId w:val="9"/>
        </w:numPr>
        <w:spacing w:line="240" w:lineRule="auto"/>
        <w:ind w:left="845" w:leftChars="0" w:hanging="425" w:firstLineChars="0"/>
        <w:rPr>
          <w:color w:val="0000FF"/>
          <w:sz w:val="24"/>
          <w:szCs w:val="24"/>
        </w:rPr>
      </w:pPr>
      <w:r>
        <w:rPr>
          <w:rFonts w:hint="eastAsia"/>
          <w:color w:val="auto"/>
          <w:sz w:val="24"/>
          <w:szCs w:val="24"/>
        </w:rPr>
        <w:t>评分标准：</w:t>
      </w:r>
      <w:r>
        <w:rPr>
          <w:rFonts w:hint="eastAsia"/>
          <w:color w:val="auto"/>
          <w:sz w:val="24"/>
          <w:szCs w:val="24"/>
          <w:lang w:val="en-US" w:eastAsia="zh-CN"/>
        </w:rPr>
        <w:t>价格70分，及时率、安全等20分，业绩5分，企业信誉5分</w:t>
      </w:r>
      <w:r>
        <w:rPr>
          <w:rFonts w:hint="eastAsia"/>
          <w:color w:val="auto"/>
          <w:sz w:val="24"/>
          <w:szCs w:val="24"/>
        </w:rPr>
        <w:t>。</w:t>
      </w:r>
    </w:p>
    <w:p>
      <w:pPr>
        <w:numPr>
          <w:ilvl w:val="0"/>
          <w:numId w:val="10"/>
        </w:numPr>
        <w:spacing w:line="240" w:lineRule="auto"/>
        <w:rPr>
          <w:rFonts w:hint="eastAsia"/>
          <w:b/>
          <w:color w:val="0000FF"/>
          <w:sz w:val="24"/>
          <w:szCs w:val="24"/>
        </w:rPr>
      </w:pPr>
      <w:r>
        <w:rPr>
          <w:rFonts w:hint="eastAsia"/>
          <w:b/>
          <w:color w:val="0000FF"/>
          <w:sz w:val="24"/>
          <w:szCs w:val="24"/>
        </w:rPr>
        <w:t>其他要求</w:t>
      </w:r>
    </w:p>
    <w:p>
      <w:pPr>
        <w:numPr>
          <w:ilvl w:val="0"/>
          <w:numId w:val="0"/>
        </w:numPr>
        <w:spacing w:line="240" w:lineRule="auto"/>
        <w:ind w:left="420" w:leftChars="0"/>
        <w:rPr>
          <w:rFonts w:hint="eastAsia"/>
          <w:b w:val="0"/>
          <w:bCs/>
          <w:color w:val="auto"/>
          <w:sz w:val="24"/>
          <w:szCs w:val="24"/>
          <w:lang w:val="en-US" w:eastAsia="zh-CN"/>
        </w:rPr>
      </w:pPr>
      <w:r>
        <w:rPr>
          <w:rFonts w:hint="eastAsia"/>
          <w:b w:val="0"/>
          <w:bCs/>
          <w:color w:val="auto"/>
          <w:sz w:val="24"/>
          <w:szCs w:val="24"/>
          <w:lang w:val="en-US" w:eastAsia="zh-CN"/>
        </w:rPr>
        <w:t>1、承揽单位应具备独立承担安全事故风险的经济实力,须按我公司《相关方及外用工（单位）安全管理制度》规定办理相关手续，缴纳安全保障金60万，为员工购买工伤保险，满 55 周岁的人员不得进入我公司从事作业活动。</w:t>
      </w:r>
    </w:p>
    <w:p>
      <w:pPr>
        <w:numPr>
          <w:ilvl w:val="0"/>
          <w:numId w:val="0"/>
        </w:numPr>
        <w:spacing w:line="240" w:lineRule="auto"/>
        <w:ind w:left="420" w:leftChars="0"/>
        <w:rPr>
          <w:rFonts w:hint="eastAsia"/>
          <w:b w:val="0"/>
          <w:bCs/>
          <w:color w:val="auto"/>
          <w:sz w:val="24"/>
          <w:szCs w:val="24"/>
          <w:lang w:val="en-US" w:eastAsia="zh-CN"/>
        </w:rPr>
      </w:pPr>
      <w:r>
        <w:rPr>
          <w:rFonts w:hint="eastAsia"/>
          <w:b w:val="0"/>
          <w:bCs/>
          <w:color w:val="auto"/>
          <w:sz w:val="24"/>
          <w:szCs w:val="24"/>
          <w:lang w:val="en-US" w:eastAsia="zh-CN"/>
        </w:rPr>
        <w:t>2、承揽单位必须具备24小时承揽服务能力，配备足够作业人员，合理安排班次，作业人员不得疲劳作业，班次调整时不得连续24小时作业；作业人员须持有国家相关部门核发的有效证件。</w:t>
      </w:r>
    </w:p>
    <w:p>
      <w:pPr>
        <w:numPr>
          <w:ilvl w:val="0"/>
          <w:numId w:val="0"/>
        </w:numPr>
        <w:spacing w:line="240" w:lineRule="auto"/>
        <w:ind w:left="420" w:leftChars="0"/>
        <w:rPr>
          <w:rFonts w:hint="eastAsia"/>
          <w:b w:val="0"/>
          <w:bCs/>
          <w:color w:val="auto"/>
          <w:sz w:val="24"/>
          <w:szCs w:val="24"/>
          <w:lang w:val="en-US" w:eastAsia="zh-CN"/>
        </w:rPr>
      </w:pPr>
      <w:r>
        <w:rPr>
          <w:rFonts w:hint="eastAsia"/>
          <w:b w:val="0"/>
          <w:bCs/>
          <w:color w:val="auto"/>
          <w:sz w:val="24"/>
          <w:szCs w:val="24"/>
          <w:lang w:val="en-US" w:eastAsia="zh-CN"/>
        </w:rPr>
        <w:t>3、承揽单位需有货物专用运输（罐式）的资质，作业车辆须符合法律法规要求、符合芜湖新兴车辆管理要求，定期做好车辆检维修工作，报废车辆一律不得进厂。罐车需证照、保险齐全。因承揽单位作业效率不高，致使不能满足生产，或作业车辆故障维修时，承运单位应在规定时间内增加车辆，保障生产经营。</w:t>
      </w:r>
    </w:p>
    <w:p>
      <w:pPr>
        <w:numPr>
          <w:ilvl w:val="0"/>
          <w:numId w:val="0"/>
        </w:numPr>
        <w:spacing w:line="240" w:lineRule="auto"/>
        <w:ind w:left="420" w:leftChars="0"/>
        <w:rPr>
          <w:rFonts w:hint="eastAsia"/>
          <w:b w:val="0"/>
          <w:bCs/>
          <w:color w:val="auto"/>
          <w:sz w:val="24"/>
          <w:szCs w:val="24"/>
          <w:lang w:val="en-US" w:eastAsia="zh-CN"/>
        </w:rPr>
      </w:pPr>
      <w:r>
        <w:rPr>
          <w:rFonts w:hint="eastAsia"/>
          <w:b w:val="0"/>
          <w:bCs/>
          <w:color w:val="auto"/>
          <w:sz w:val="24"/>
          <w:szCs w:val="24"/>
          <w:lang w:val="en-US" w:eastAsia="zh-CN"/>
        </w:rPr>
        <w:t>4、承揽单位在合同履行中，必须遵守我公司的安全、生产、环保、质量、现场、车辆交通等规章制度。如违反相关规章制度，我公司将依据规章制度要求给予考核。</w:t>
      </w:r>
    </w:p>
    <w:p>
      <w:pPr>
        <w:numPr>
          <w:ilvl w:val="0"/>
          <w:numId w:val="0"/>
        </w:numPr>
        <w:spacing w:line="240" w:lineRule="auto"/>
        <w:ind w:left="420" w:leftChars="0"/>
        <w:rPr>
          <w:rFonts w:hint="eastAsia"/>
          <w:b w:val="0"/>
          <w:bCs/>
          <w:color w:val="auto"/>
          <w:sz w:val="24"/>
          <w:szCs w:val="24"/>
          <w:lang w:val="en-US" w:eastAsia="zh-CN"/>
        </w:rPr>
      </w:pPr>
      <w:r>
        <w:rPr>
          <w:rFonts w:hint="eastAsia"/>
          <w:b w:val="0"/>
          <w:bCs/>
          <w:color w:val="auto"/>
          <w:sz w:val="24"/>
          <w:szCs w:val="24"/>
          <w:lang w:val="en-US" w:eastAsia="zh-CN"/>
        </w:rPr>
        <w:t>5、合同履约保证金为5万元。合同执行期结束，经双方确认无合同纠纷后，我公司退还承揽单位履约保证金（无息）；若存在尚未解决合同争端，履约保证金的有效期将延长到上述争端最终解决且所有理赔完毕。</w:t>
      </w:r>
    </w:p>
    <w:p>
      <w:pPr>
        <w:numPr>
          <w:ilvl w:val="0"/>
          <w:numId w:val="0"/>
        </w:numPr>
        <w:spacing w:line="240" w:lineRule="auto"/>
        <w:ind w:left="420" w:leftChars="0"/>
        <w:rPr>
          <w:rFonts w:hint="eastAsia"/>
          <w:b w:val="0"/>
          <w:bCs/>
          <w:color w:val="auto"/>
          <w:sz w:val="24"/>
          <w:szCs w:val="24"/>
          <w:lang w:val="en-US" w:eastAsia="zh-CN"/>
        </w:rPr>
      </w:pPr>
      <w:r>
        <w:rPr>
          <w:rFonts w:hint="eastAsia"/>
          <w:b w:val="0"/>
          <w:bCs/>
          <w:color w:val="auto"/>
          <w:sz w:val="24"/>
          <w:szCs w:val="24"/>
          <w:lang w:val="en-US" w:eastAsia="zh-CN"/>
        </w:rPr>
        <w:t>6、承揽单位须在履约前准备好车辆、作业人员，所有作业人员需接受用车部门安全培训、业务培训后方可上岗。</w:t>
      </w:r>
    </w:p>
    <w:p>
      <w:pPr>
        <w:numPr>
          <w:ilvl w:val="0"/>
          <w:numId w:val="0"/>
        </w:numPr>
        <w:spacing w:line="240" w:lineRule="auto"/>
        <w:ind w:left="420" w:leftChars="0"/>
        <w:rPr>
          <w:rFonts w:hint="default"/>
          <w:color w:val="auto"/>
          <w:sz w:val="24"/>
          <w:szCs w:val="24"/>
          <w:lang w:val="en-US" w:eastAsia="zh-CN"/>
        </w:rPr>
      </w:pPr>
      <w:r>
        <w:rPr>
          <w:rFonts w:hint="eastAsia"/>
          <w:b w:val="0"/>
          <w:bCs/>
          <w:color w:val="auto"/>
          <w:sz w:val="24"/>
          <w:szCs w:val="24"/>
          <w:lang w:val="en-US" w:eastAsia="zh-CN"/>
        </w:rPr>
        <w:t>7、合同期限：2020年10月29日至2021年4月28日。</w:t>
      </w:r>
    </w:p>
    <w:p>
      <w:pPr>
        <w:spacing w:line="240" w:lineRule="auto"/>
        <w:rPr>
          <w:rFonts w:hint="eastAsia" w:ascii="宋体" w:hAnsi="宋体"/>
          <w:b/>
          <w:color w:val="auto"/>
          <w:sz w:val="24"/>
          <w:szCs w:val="24"/>
          <w:lang w:val="en-US" w:eastAsia="zh-CN"/>
        </w:rPr>
      </w:pPr>
    </w:p>
    <w:p>
      <w:pPr>
        <w:spacing w:line="240" w:lineRule="auto"/>
        <w:rPr>
          <w:rFonts w:hint="eastAsia" w:ascii="宋体" w:hAnsi="宋体"/>
          <w:b/>
          <w:color w:val="auto"/>
          <w:sz w:val="24"/>
          <w:szCs w:val="24"/>
          <w:lang w:val="en-US" w:eastAsia="zh-CN"/>
        </w:rPr>
      </w:pPr>
    </w:p>
    <w:p>
      <w:pPr>
        <w:spacing w:line="240" w:lineRule="auto"/>
        <w:rPr>
          <w:rFonts w:hint="eastAsia" w:ascii="宋体" w:hAnsi="宋体"/>
          <w:b/>
          <w:color w:val="auto"/>
          <w:sz w:val="24"/>
          <w:szCs w:val="24"/>
          <w:lang w:val="en-US" w:eastAsia="zh-CN"/>
        </w:rPr>
      </w:pPr>
    </w:p>
    <w:p>
      <w:pPr>
        <w:spacing w:line="240" w:lineRule="auto"/>
        <w:rPr>
          <w:rFonts w:hint="eastAsia" w:ascii="宋体" w:hAnsi="宋体"/>
          <w:b/>
          <w:color w:val="auto"/>
          <w:sz w:val="24"/>
          <w:szCs w:val="24"/>
          <w:lang w:val="en-US" w:eastAsia="zh-CN"/>
        </w:rPr>
      </w:pPr>
    </w:p>
    <w:p>
      <w:pPr>
        <w:spacing w:line="240" w:lineRule="auto"/>
        <w:rPr>
          <w:rFonts w:hint="eastAsia" w:ascii="宋体" w:hAnsi="宋体"/>
          <w:b/>
          <w:color w:val="auto"/>
          <w:sz w:val="24"/>
          <w:szCs w:val="24"/>
          <w:lang w:val="en-US" w:eastAsia="zh-CN"/>
        </w:rPr>
      </w:pPr>
    </w:p>
    <w:p>
      <w:pPr>
        <w:spacing w:line="240" w:lineRule="auto"/>
        <w:rPr>
          <w:rFonts w:hint="eastAsia" w:ascii="宋体" w:hAnsi="宋体"/>
          <w:b/>
          <w:color w:val="auto"/>
          <w:sz w:val="24"/>
          <w:szCs w:val="24"/>
          <w:lang w:val="en-US" w:eastAsia="zh-CN"/>
        </w:rPr>
      </w:pPr>
    </w:p>
    <w:p>
      <w:pPr>
        <w:spacing w:line="240" w:lineRule="auto"/>
        <w:rPr>
          <w:rFonts w:hint="eastAsia" w:ascii="宋体" w:hAnsi="宋体"/>
          <w:b/>
          <w:color w:val="auto"/>
          <w:sz w:val="24"/>
          <w:szCs w:val="24"/>
          <w:lang w:val="en-US" w:eastAsia="zh-CN"/>
        </w:rPr>
      </w:pPr>
    </w:p>
    <w:p>
      <w:pPr>
        <w:spacing w:line="240" w:lineRule="auto"/>
        <w:rPr>
          <w:rFonts w:hint="eastAsia" w:ascii="宋体" w:hAnsi="宋体"/>
          <w:b/>
          <w:color w:val="auto"/>
          <w:sz w:val="24"/>
          <w:szCs w:val="24"/>
          <w:lang w:val="en-US" w:eastAsia="zh-CN"/>
        </w:rPr>
      </w:pPr>
    </w:p>
    <w:p>
      <w:pPr>
        <w:spacing w:line="240" w:lineRule="auto"/>
        <w:rPr>
          <w:rFonts w:hint="eastAsia" w:ascii="宋体" w:hAnsi="宋体"/>
          <w:b/>
          <w:color w:val="auto"/>
          <w:sz w:val="24"/>
          <w:szCs w:val="24"/>
          <w:lang w:val="en-US" w:eastAsia="zh-CN"/>
        </w:rPr>
      </w:pPr>
    </w:p>
    <w:p>
      <w:pPr>
        <w:spacing w:line="240" w:lineRule="auto"/>
        <w:rPr>
          <w:rFonts w:hint="eastAsia" w:ascii="宋体" w:hAnsi="宋体"/>
          <w:b/>
          <w:color w:val="auto"/>
          <w:sz w:val="24"/>
          <w:szCs w:val="24"/>
          <w:lang w:val="en-US" w:eastAsia="zh-CN"/>
        </w:rPr>
      </w:pPr>
    </w:p>
    <w:p>
      <w:pPr>
        <w:spacing w:line="240" w:lineRule="auto"/>
        <w:rPr>
          <w:rFonts w:hint="eastAsia" w:ascii="宋体" w:hAnsi="宋体"/>
          <w:b/>
          <w:color w:val="auto"/>
          <w:sz w:val="24"/>
          <w:szCs w:val="24"/>
          <w:lang w:val="en-US" w:eastAsia="zh-CN"/>
        </w:rPr>
      </w:pPr>
    </w:p>
    <w:p>
      <w:pPr>
        <w:spacing w:line="240" w:lineRule="auto"/>
        <w:rPr>
          <w:rFonts w:hint="eastAsia" w:ascii="宋体" w:hAnsi="宋体"/>
          <w:b/>
          <w:color w:val="auto"/>
          <w:sz w:val="24"/>
          <w:szCs w:val="24"/>
          <w:lang w:val="en-US" w:eastAsia="zh-CN"/>
        </w:rPr>
      </w:pPr>
    </w:p>
    <w:p>
      <w:pPr>
        <w:spacing w:line="240" w:lineRule="auto"/>
        <w:rPr>
          <w:rFonts w:hint="eastAsia" w:ascii="宋体" w:hAnsi="宋体"/>
          <w:b/>
          <w:color w:val="auto"/>
          <w:sz w:val="24"/>
          <w:szCs w:val="24"/>
          <w:lang w:val="en-US" w:eastAsia="zh-CN"/>
        </w:rPr>
      </w:pPr>
    </w:p>
    <w:p>
      <w:pPr>
        <w:spacing w:line="240" w:lineRule="auto"/>
        <w:rPr>
          <w:rFonts w:hint="eastAsia" w:ascii="宋体" w:hAnsi="宋体"/>
          <w:b/>
          <w:color w:val="auto"/>
          <w:sz w:val="24"/>
          <w:szCs w:val="24"/>
          <w:lang w:val="en-US" w:eastAsia="zh-CN"/>
        </w:rPr>
      </w:pPr>
    </w:p>
    <w:p>
      <w:pPr>
        <w:numPr>
          <w:ilvl w:val="0"/>
          <w:numId w:val="10"/>
        </w:numPr>
        <w:spacing w:line="240" w:lineRule="auto"/>
        <w:ind w:left="0" w:leftChars="0" w:firstLine="0" w:firstLineChars="0"/>
        <w:rPr>
          <w:rFonts w:hint="eastAsia" w:ascii="宋体" w:hAnsi="宋体"/>
          <w:b/>
          <w:color w:val="auto"/>
          <w:sz w:val="24"/>
          <w:szCs w:val="24"/>
          <w:lang w:val="en-US" w:eastAsia="zh-CN"/>
        </w:rPr>
      </w:pPr>
      <w:r>
        <w:rPr>
          <w:rFonts w:hint="eastAsia" w:ascii="宋体" w:hAnsi="宋体"/>
          <w:b/>
          <w:color w:val="auto"/>
          <w:sz w:val="24"/>
          <w:szCs w:val="24"/>
          <w:lang w:val="en-US" w:eastAsia="zh-CN"/>
        </w:rPr>
        <w:t>报价表</w:t>
      </w:r>
    </w:p>
    <w:p>
      <w:pPr>
        <w:numPr>
          <w:ilvl w:val="0"/>
          <w:numId w:val="0"/>
        </w:numPr>
        <w:spacing w:line="240" w:lineRule="auto"/>
        <w:rPr>
          <w:rFonts w:hint="default" w:ascii="宋体" w:hAnsi="宋体"/>
          <w:b/>
          <w:color w:val="auto"/>
          <w:sz w:val="24"/>
          <w:szCs w:val="24"/>
          <w:lang w:val="en-US" w:eastAsia="zh-CN"/>
        </w:rPr>
      </w:pPr>
    </w:p>
    <w:p>
      <w:pPr>
        <w:tabs>
          <w:tab w:val="left" w:pos="420"/>
          <w:tab w:val="left" w:pos="630"/>
        </w:tabs>
        <w:spacing w:line="300" w:lineRule="auto"/>
        <w:jc w:val="center"/>
        <w:rPr>
          <w:rFonts w:hint="eastAsia"/>
          <w:u w:val="none"/>
          <w:lang w:eastAsia="zh-CN"/>
        </w:rPr>
      </w:pPr>
    </w:p>
    <w:p>
      <w:pPr>
        <w:tabs>
          <w:tab w:val="left" w:pos="420"/>
          <w:tab w:val="left" w:pos="630"/>
        </w:tabs>
        <w:spacing w:line="300" w:lineRule="auto"/>
        <w:jc w:val="center"/>
        <w:rPr>
          <w:rFonts w:hint="eastAsia"/>
          <w:sz w:val="28"/>
          <w:szCs w:val="24"/>
          <w:u w:val="none"/>
          <w:lang w:eastAsia="zh-CN"/>
        </w:rPr>
      </w:pPr>
      <w:r>
        <w:rPr>
          <w:rFonts w:hint="eastAsia"/>
          <w:sz w:val="28"/>
          <w:szCs w:val="24"/>
          <w:u w:val="none"/>
          <w:lang w:eastAsia="zh-CN"/>
        </w:rPr>
        <w:t>报价表（</w:t>
      </w:r>
      <w:r>
        <w:rPr>
          <w:rFonts w:hint="eastAsia"/>
          <w:b/>
          <w:bCs/>
          <w:color w:val="FF0000"/>
          <w:sz w:val="21"/>
          <w:szCs w:val="20"/>
          <w:u w:val="none"/>
          <w:lang w:eastAsia="zh-CN"/>
        </w:rPr>
        <w:t>含税，适用税率</w:t>
      </w:r>
      <w:r>
        <w:rPr>
          <w:rFonts w:hint="eastAsia"/>
          <w:b/>
          <w:bCs/>
          <w:color w:val="FF0000"/>
          <w:sz w:val="21"/>
          <w:szCs w:val="20"/>
          <w:u w:val="single"/>
          <w:lang w:val="en-US" w:eastAsia="zh-CN"/>
        </w:rPr>
        <w:t xml:space="preserve">    </w:t>
      </w:r>
      <w:r>
        <w:rPr>
          <w:rFonts w:hint="eastAsia"/>
          <w:sz w:val="28"/>
          <w:szCs w:val="24"/>
          <w:u w:val="none"/>
          <w:lang w:eastAsia="zh-CN"/>
        </w:rPr>
        <w:t>）</w:t>
      </w:r>
    </w:p>
    <w:tbl>
      <w:tblPr>
        <w:tblStyle w:val="8"/>
        <w:tblW w:w="110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9"/>
        <w:gridCol w:w="2841"/>
        <w:gridCol w:w="1500"/>
        <w:gridCol w:w="3532"/>
        <w:gridCol w:w="1036"/>
        <w:gridCol w:w="1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619"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jc w:val="center"/>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序号</w:t>
            </w:r>
          </w:p>
        </w:tc>
        <w:tc>
          <w:tcPr>
            <w:tcW w:w="28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jc w:val="center"/>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项目</w:t>
            </w:r>
          </w:p>
        </w:tc>
        <w:tc>
          <w:tcPr>
            <w:tcW w:w="150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jc w:val="center"/>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车型</w:t>
            </w:r>
          </w:p>
        </w:tc>
        <w:tc>
          <w:tcPr>
            <w:tcW w:w="353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jc w:val="center"/>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结算方式</w:t>
            </w:r>
          </w:p>
        </w:tc>
        <w:tc>
          <w:tcPr>
            <w:tcW w:w="103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jc w:val="center"/>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单价</w:t>
            </w:r>
          </w:p>
          <w:p>
            <w:pPr>
              <w:keepNext w:val="0"/>
              <w:keepLines w:val="0"/>
              <w:pageBreakBefore w:val="0"/>
              <w:widowControl w:val="0"/>
              <w:numPr>
                <w:ilvl w:val="0"/>
                <w:numId w:val="0"/>
              </w:numPr>
              <w:kinsoku/>
              <w:wordWrap/>
              <w:overflowPunct/>
              <w:topLinePunct w:val="0"/>
              <w:autoSpaceDE/>
              <w:autoSpaceDN/>
              <w:bidi w:val="0"/>
              <w:adjustRightInd/>
              <w:snapToGrid/>
              <w:spacing w:line="120" w:lineRule="auto"/>
              <w:jc w:val="center"/>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元/吨</w:t>
            </w:r>
          </w:p>
        </w:tc>
        <w:tc>
          <w:tcPr>
            <w:tcW w:w="152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jc w:val="center"/>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5" w:hRule="atLeast"/>
          <w:jc w:val="center"/>
        </w:trPr>
        <w:tc>
          <w:tcPr>
            <w:tcW w:w="619" w:type="dxa"/>
            <w:vAlign w:val="center"/>
          </w:tcPr>
          <w:p>
            <w:pPr>
              <w:widowControl w:val="0"/>
              <w:jc w:val="center"/>
              <w:rPr>
                <w:rFonts w:hint="default" w:ascii="宋体" w:hAnsi="宋体" w:cs="宋体"/>
                <w:sz w:val="21"/>
                <w:szCs w:val="21"/>
                <w:lang w:val="en-US" w:eastAsia="zh-CN"/>
              </w:rPr>
            </w:pPr>
            <w:r>
              <w:rPr>
                <w:rFonts w:hint="eastAsia" w:ascii="宋体" w:hAnsi="宋体" w:cs="宋体"/>
                <w:sz w:val="21"/>
                <w:szCs w:val="21"/>
                <w:lang w:val="en-US" w:eastAsia="zh-CN"/>
              </w:rPr>
              <w:t>1</w:t>
            </w:r>
          </w:p>
        </w:tc>
        <w:tc>
          <w:tcPr>
            <w:tcW w:w="2841" w:type="dxa"/>
            <w:vAlign w:val="center"/>
          </w:tcPr>
          <w:p>
            <w:pPr>
              <w:widowControl w:val="0"/>
              <w:ind w:firstLine="420" w:firstLineChars="200"/>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炼钢部除尘红粉、细灰倒运至炼钢压球、炼铁烧结。</w:t>
            </w:r>
          </w:p>
        </w:tc>
        <w:tc>
          <w:tcPr>
            <w:tcW w:w="1500" w:type="dxa"/>
            <w:vAlign w:val="center"/>
          </w:tcPr>
          <w:p>
            <w:pPr>
              <w:widowControl w:val="0"/>
              <w:jc w:val="center"/>
              <w:rPr>
                <w:rFonts w:hint="eastAsia" w:ascii="宋体" w:hAnsi="宋体" w:eastAsia="宋体" w:cs="宋体"/>
                <w:sz w:val="21"/>
                <w:szCs w:val="21"/>
              </w:rPr>
            </w:pPr>
            <w:r>
              <w:rPr>
                <w:rFonts w:hint="eastAsia" w:ascii="宋体" w:hAnsi="宋体" w:cs="宋体"/>
                <w:sz w:val="21"/>
                <w:szCs w:val="21"/>
                <w:lang w:val="en-US" w:eastAsia="zh-CN"/>
              </w:rPr>
              <w:t>1部</w:t>
            </w:r>
            <w:r>
              <w:rPr>
                <w:rFonts w:hint="eastAsia" w:ascii="宋体" w:hAnsi="宋体" w:eastAsia="宋体" w:cs="宋体"/>
                <w:sz w:val="21"/>
                <w:szCs w:val="21"/>
              </w:rPr>
              <w:t>罐车</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（耐高温）</w:t>
            </w:r>
          </w:p>
        </w:tc>
        <w:tc>
          <w:tcPr>
            <w:tcW w:w="3532" w:type="dxa"/>
            <w:vAlign w:val="center"/>
          </w:tcPr>
          <w:p>
            <w:pPr>
              <w:widowControl w:val="0"/>
              <w:jc w:val="center"/>
              <w:rPr>
                <w:rFonts w:hint="eastAsia" w:ascii="宋体" w:hAnsi="宋体" w:eastAsia="宋体" w:cs="宋体"/>
                <w:sz w:val="21"/>
                <w:szCs w:val="21"/>
              </w:rPr>
            </w:pPr>
            <w:r>
              <w:rPr>
                <w:rFonts w:hint="eastAsia" w:ascii="宋体" w:hAnsi="宋体" w:eastAsia="宋体" w:cs="宋体"/>
                <w:sz w:val="21"/>
                <w:szCs w:val="21"/>
              </w:rPr>
              <w:t xml:space="preserve">结算费用=实际过磅运量*单价       </w:t>
            </w:r>
            <w:r>
              <w:rPr>
                <w:rFonts w:hint="eastAsia" w:ascii="宋体" w:hAnsi="宋体" w:cs="宋体"/>
                <w:sz w:val="21"/>
                <w:szCs w:val="21"/>
                <w:lang w:eastAsia="zh-CN"/>
              </w:rPr>
              <w:t>倒运量预计</w:t>
            </w:r>
            <w:r>
              <w:rPr>
                <w:rFonts w:hint="eastAsia" w:ascii="宋体" w:hAnsi="宋体" w:eastAsia="宋体" w:cs="宋体"/>
                <w:sz w:val="21"/>
                <w:szCs w:val="21"/>
              </w:rPr>
              <w:t>约</w:t>
            </w:r>
            <w:r>
              <w:rPr>
                <w:rFonts w:hint="eastAsia" w:ascii="宋体" w:hAnsi="宋体" w:cs="宋体"/>
                <w:sz w:val="21"/>
                <w:szCs w:val="21"/>
                <w:lang w:val="en-US" w:eastAsia="zh-CN"/>
              </w:rPr>
              <w:t>3400</w:t>
            </w:r>
            <w:r>
              <w:rPr>
                <w:rFonts w:hint="eastAsia" w:ascii="宋体" w:hAnsi="宋体" w:eastAsia="宋体" w:cs="宋体"/>
                <w:sz w:val="21"/>
                <w:szCs w:val="21"/>
              </w:rPr>
              <w:t>吨/月</w:t>
            </w:r>
          </w:p>
        </w:tc>
        <w:tc>
          <w:tcPr>
            <w:tcW w:w="1036" w:type="dxa"/>
            <w:vAlign w:val="center"/>
          </w:tcPr>
          <w:p>
            <w:pPr>
              <w:widowControl w:val="0"/>
              <w:jc w:val="center"/>
              <w:rPr>
                <w:rFonts w:hint="eastAsia" w:ascii="宋体" w:hAnsi="宋体" w:eastAsia="宋体" w:cs="宋体"/>
                <w:sz w:val="21"/>
                <w:szCs w:val="21"/>
                <w:vertAlign w:val="baseline"/>
                <w:lang w:val="en-US" w:eastAsia="zh-CN"/>
              </w:rPr>
            </w:pPr>
          </w:p>
        </w:tc>
        <w:tc>
          <w:tcPr>
            <w:tcW w:w="1527" w:type="dxa"/>
            <w:vAlign w:val="center"/>
          </w:tcPr>
          <w:p>
            <w:pPr>
              <w:widowControl w:val="0"/>
              <w:jc w:val="center"/>
              <w:rPr>
                <w:rFonts w:hint="eastAsia" w:ascii="宋体" w:hAnsi="宋体" w:eastAsia="宋体" w:cs="宋体"/>
                <w:sz w:val="21"/>
                <w:szCs w:val="21"/>
              </w:rPr>
            </w:pPr>
            <w:r>
              <w:rPr>
                <w:rFonts w:hint="eastAsia" w:ascii="宋体" w:hAnsi="宋体" w:eastAsia="宋体" w:cs="宋体"/>
                <w:sz w:val="21"/>
                <w:szCs w:val="21"/>
              </w:rPr>
              <w:t>次月付款    （</w:t>
            </w:r>
            <w:r>
              <w:rPr>
                <w:rFonts w:hint="eastAsia" w:ascii="宋体" w:hAnsi="宋体" w:cs="宋体"/>
                <w:sz w:val="21"/>
                <w:szCs w:val="21"/>
                <w:lang w:eastAsia="zh-CN"/>
              </w:rPr>
              <w:t>转账或现汇</w:t>
            </w:r>
            <w:r>
              <w:rPr>
                <w:rFonts w:hint="eastAsia" w:ascii="宋体" w:hAnsi="宋体" w:eastAsia="宋体" w:cs="宋体"/>
                <w:sz w:val="21"/>
                <w:szCs w:val="21"/>
              </w:rPr>
              <w:t>）</w:t>
            </w:r>
          </w:p>
        </w:tc>
      </w:tr>
    </w:tbl>
    <w:p>
      <w:pPr>
        <w:numPr>
          <w:ilvl w:val="0"/>
          <w:numId w:val="0"/>
        </w:numPr>
        <w:spacing w:line="360" w:lineRule="auto"/>
        <w:rPr>
          <w:rFonts w:hint="eastAsia" w:ascii="宋体" w:hAnsi="宋体" w:cs="宋体"/>
          <w:color w:val="auto"/>
          <w:sz w:val="24"/>
          <w:szCs w:val="22"/>
          <w:lang w:val="en-US" w:eastAsia="zh-CN"/>
        </w:rPr>
      </w:pPr>
    </w:p>
    <w:p>
      <w:pPr>
        <w:numPr>
          <w:ilvl w:val="0"/>
          <w:numId w:val="0"/>
        </w:numPr>
        <w:spacing w:line="360" w:lineRule="auto"/>
        <w:rPr>
          <w:rFonts w:hint="eastAsia" w:ascii="宋体" w:hAnsi="宋体" w:cs="宋体"/>
          <w:color w:val="auto"/>
          <w:sz w:val="24"/>
          <w:szCs w:val="22"/>
          <w:lang w:val="en-US" w:eastAsia="zh-CN"/>
        </w:rPr>
      </w:pPr>
    </w:p>
    <w:p>
      <w:pPr>
        <w:numPr>
          <w:ilvl w:val="0"/>
          <w:numId w:val="0"/>
        </w:numPr>
        <w:spacing w:line="360" w:lineRule="auto"/>
        <w:rPr>
          <w:rFonts w:hint="default" w:ascii="宋体" w:hAnsi="宋体" w:eastAsia="宋体" w:cs="宋体"/>
          <w:b/>
          <w:bCs/>
          <w:color w:val="auto"/>
          <w:sz w:val="24"/>
          <w:szCs w:val="22"/>
          <w:lang w:val="en-US" w:eastAsia="zh-CN"/>
        </w:rPr>
      </w:pPr>
      <w:r>
        <w:rPr>
          <w:rFonts w:hint="eastAsia" w:ascii="宋体" w:hAnsi="宋体" w:cs="宋体"/>
          <w:b/>
          <w:bCs/>
          <w:color w:val="auto"/>
          <w:sz w:val="24"/>
          <w:szCs w:val="22"/>
          <w:lang w:val="en-US" w:eastAsia="zh-CN"/>
        </w:rPr>
        <w:t>备注：此报价含税。</w:t>
      </w:r>
    </w:p>
    <w:p>
      <w:pPr>
        <w:spacing w:line="360" w:lineRule="auto"/>
        <w:rPr>
          <w:rFonts w:hint="eastAsia" w:ascii="宋体" w:hAnsi="宋体" w:eastAsia="宋体" w:cs="宋体"/>
          <w:sz w:val="24"/>
          <w:szCs w:val="22"/>
          <w:lang w:eastAsia="zh-CN"/>
        </w:rPr>
      </w:pPr>
    </w:p>
    <w:p>
      <w:pPr>
        <w:spacing w:line="360" w:lineRule="auto"/>
        <w:rPr>
          <w:rFonts w:hint="eastAsia" w:ascii="宋体" w:hAnsi="宋体" w:eastAsia="宋体" w:cs="宋体"/>
          <w:sz w:val="24"/>
          <w:szCs w:val="22"/>
          <w:lang w:eastAsia="zh-CN"/>
        </w:rPr>
      </w:pPr>
      <w:r>
        <w:rPr>
          <w:rFonts w:hint="eastAsia" w:ascii="宋体" w:hAnsi="宋体" w:eastAsia="宋体" w:cs="宋体"/>
          <w:sz w:val="24"/>
          <w:szCs w:val="22"/>
          <w:lang w:eastAsia="zh-CN"/>
        </w:rPr>
        <w:t>报价单位</w:t>
      </w:r>
      <w:r>
        <w:rPr>
          <w:rFonts w:hint="eastAsia" w:ascii="宋体" w:hAnsi="宋体" w:cs="宋体"/>
          <w:sz w:val="24"/>
          <w:szCs w:val="22"/>
          <w:lang w:eastAsia="zh-CN"/>
        </w:rPr>
        <w:t>：</w:t>
      </w:r>
    </w:p>
    <w:p>
      <w:pPr>
        <w:spacing w:line="360" w:lineRule="auto"/>
        <w:rPr>
          <w:rFonts w:hint="eastAsia" w:ascii="宋体" w:hAnsi="宋体" w:eastAsia="宋体" w:cs="宋体"/>
          <w:sz w:val="24"/>
          <w:szCs w:val="22"/>
          <w:lang w:val="en-US" w:eastAsia="zh-CN"/>
        </w:rPr>
      </w:pPr>
      <w:r>
        <w:rPr>
          <w:rFonts w:hint="eastAsia" w:ascii="宋体" w:hAnsi="宋体" w:eastAsia="宋体" w:cs="宋体"/>
          <w:sz w:val="24"/>
          <w:szCs w:val="22"/>
          <w:lang w:eastAsia="zh-CN"/>
        </w:rPr>
        <w:t>时间</w:t>
      </w:r>
      <w:r>
        <w:rPr>
          <w:rFonts w:hint="eastAsia" w:ascii="宋体" w:hAnsi="宋体" w:cs="宋体"/>
          <w:sz w:val="24"/>
          <w:szCs w:val="22"/>
          <w:lang w:eastAsia="zh-CN"/>
        </w:rPr>
        <w:t>：</w:t>
      </w:r>
      <w:r>
        <w:rPr>
          <w:rFonts w:hint="eastAsia" w:ascii="宋体" w:hAnsi="宋体" w:eastAsia="宋体" w:cs="宋体"/>
          <w:sz w:val="24"/>
          <w:szCs w:val="22"/>
          <w:lang w:val="en-US" w:eastAsia="zh-CN"/>
        </w:rPr>
        <w:t xml:space="preserve">  </w:t>
      </w:r>
    </w:p>
    <w:p>
      <w:pPr>
        <w:widowControl w:val="0"/>
        <w:spacing w:line="400" w:lineRule="atLeast"/>
        <w:jc w:val="right"/>
        <w:rPr>
          <w:rFonts w:hint="eastAsia"/>
          <w:b/>
          <w:bCs/>
          <w:lang w:val="en-US" w:eastAsia="zh-CN"/>
        </w:rPr>
      </w:pPr>
    </w:p>
    <w:p>
      <w:pPr>
        <w:widowControl w:val="0"/>
        <w:spacing w:line="400" w:lineRule="atLeast"/>
        <w:jc w:val="right"/>
        <w:rPr>
          <w:rFonts w:hint="eastAsia"/>
          <w:b/>
          <w:bCs/>
          <w:lang w:val="en-US" w:eastAsia="zh-CN"/>
        </w:rPr>
      </w:pPr>
    </w:p>
    <w:p>
      <w:pPr>
        <w:widowControl w:val="0"/>
        <w:spacing w:line="400" w:lineRule="atLeast"/>
        <w:jc w:val="right"/>
        <w:rPr>
          <w:rFonts w:hint="eastAsia"/>
          <w:b/>
          <w:bCs/>
          <w:lang w:val="en-US" w:eastAsia="zh-CN"/>
        </w:rPr>
      </w:pPr>
      <w:r>
        <w:rPr>
          <w:rFonts w:hint="eastAsia"/>
          <w:b/>
          <w:bCs/>
          <w:lang w:val="en-US" w:eastAsia="zh-CN"/>
        </w:rPr>
        <w:t>芜湖新兴铸管有限责任公司</w:t>
      </w:r>
    </w:p>
    <w:p>
      <w:pPr>
        <w:widowControl w:val="0"/>
        <w:spacing w:line="400" w:lineRule="atLeast"/>
        <w:jc w:val="right"/>
        <w:rPr>
          <w:rFonts w:hint="default"/>
          <w:b/>
          <w:bCs/>
          <w:lang w:val="en-US" w:eastAsia="zh-CN"/>
        </w:rPr>
      </w:pPr>
      <w:r>
        <w:rPr>
          <w:rFonts w:hint="eastAsia"/>
          <w:b/>
          <w:bCs/>
          <w:lang w:val="en-US" w:eastAsia="zh-CN"/>
        </w:rPr>
        <w:t>招标办2020-9-25</w:t>
      </w: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隶书">
    <w:altName w:val="微软雅黑"/>
    <w:panose1 w:val="0201050906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ACFB70"/>
    <w:multiLevelType w:val="singleLevel"/>
    <w:tmpl w:val="88ACFB70"/>
    <w:lvl w:ilvl="0" w:tentative="0">
      <w:start w:val="1"/>
      <w:numFmt w:val="decimal"/>
      <w:suff w:val="nothing"/>
      <w:lvlText w:val="%1．"/>
      <w:lvlJc w:val="left"/>
      <w:pPr>
        <w:ind w:left="0" w:firstLine="400"/>
      </w:pPr>
      <w:rPr>
        <w:rFonts w:hint="default"/>
      </w:rPr>
    </w:lvl>
  </w:abstractNum>
  <w:abstractNum w:abstractNumId="1">
    <w:nsid w:val="A640FB31"/>
    <w:multiLevelType w:val="singleLevel"/>
    <w:tmpl w:val="A640FB31"/>
    <w:lvl w:ilvl="0" w:tentative="0">
      <w:start w:val="1"/>
      <w:numFmt w:val="decimal"/>
      <w:suff w:val="nothing"/>
      <w:lvlText w:val="%1．"/>
      <w:lvlJc w:val="left"/>
      <w:pPr>
        <w:ind w:left="0" w:firstLine="400"/>
      </w:pPr>
      <w:rPr>
        <w:rFonts w:hint="default"/>
      </w:rPr>
    </w:lvl>
  </w:abstractNum>
  <w:abstractNum w:abstractNumId="2">
    <w:nsid w:val="B016B801"/>
    <w:multiLevelType w:val="singleLevel"/>
    <w:tmpl w:val="B016B801"/>
    <w:lvl w:ilvl="0" w:tentative="0">
      <w:start w:val="1"/>
      <w:numFmt w:val="decimal"/>
      <w:lvlText w:val="(%1)"/>
      <w:lvlJc w:val="left"/>
      <w:pPr>
        <w:ind w:left="425" w:hanging="425"/>
      </w:pPr>
      <w:rPr>
        <w:rFonts w:hint="default"/>
      </w:rPr>
    </w:lvl>
  </w:abstractNum>
  <w:abstractNum w:abstractNumId="3">
    <w:nsid w:val="D591D3AB"/>
    <w:multiLevelType w:val="singleLevel"/>
    <w:tmpl w:val="D591D3AB"/>
    <w:lvl w:ilvl="0" w:tentative="0">
      <w:start w:val="1"/>
      <w:numFmt w:val="decimal"/>
      <w:suff w:val="nothing"/>
      <w:lvlText w:val="%1．"/>
      <w:lvlJc w:val="left"/>
      <w:pPr>
        <w:ind w:left="0" w:firstLine="400"/>
      </w:pPr>
      <w:rPr>
        <w:rFonts w:hint="default"/>
      </w:rPr>
    </w:lvl>
  </w:abstractNum>
  <w:abstractNum w:abstractNumId="4">
    <w:nsid w:val="0000000A"/>
    <w:multiLevelType w:val="singleLevel"/>
    <w:tmpl w:val="0000000A"/>
    <w:lvl w:ilvl="0" w:tentative="0">
      <w:start w:val="1"/>
      <w:numFmt w:val="japaneseCounting"/>
      <w:lvlText w:val="%1、"/>
      <w:lvlJc w:val="left"/>
      <w:pPr>
        <w:tabs>
          <w:tab w:val="left" w:pos="570"/>
        </w:tabs>
        <w:ind w:left="570" w:hanging="570"/>
      </w:pPr>
    </w:lvl>
  </w:abstractNum>
  <w:abstractNum w:abstractNumId="5">
    <w:nsid w:val="0000000C"/>
    <w:multiLevelType w:val="multilevel"/>
    <w:tmpl w:val="0000000C"/>
    <w:lvl w:ilvl="0" w:tentative="0">
      <w:start w:val="1"/>
      <w:numFmt w:val="decimalEnclosedCircle"/>
      <w:lvlText w:val="%1"/>
      <w:lvlJc w:val="left"/>
      <w:pPr>
        <w:tabs>
          <w:tab w:val="left" w:pos="780"/>
        </w:tabs>
        <w:ind w:left="780" w:hanging="360"/>
      </w:pPr>
      <w:rPr>
        <w:rFonts w:hint="default"/>
      </w:rPr>
    </w:lvl>
    <w:lvl w:ilvl="1" w:tentative="0">
      <w:start w:val="1"/>
      <w:numFmt w:val="decimal"/>
      <w:lvlText w:val="%2、"/>
      <w:lvlJc w:val="left"/>
      <w:pPr>
        <w:tabs>
          <w:tab w:val="left" w:pos="1560"/>
        </w:tabs>
        <w:ind w:left="1560" w:hanging="720"/>
      </w:pPr>
      <w:rPr>
        <w:rFonts w:ascii="宋体" w:hAnsi="宋体" w:eastAsia="宋体" w:cs="Times New Roman"/>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6">
    <w:nsid w:val="042AB84E"/>
    <w:multiLevelType w:val="singleLevel"/>
    <w:tmpl w:val="042AB84E"/>
    <w:lvl w:ilvl="0" w:tentative="0">
      <w:start w:val="13"/>
      <w:numFmt w:val="chineseCounting"/>
      <w:suff w:val="nothing"/>
      <w:lvlText w:val="%1、"/>
      <w:lvlJc w:val="left"/>
      <w:rPr>
        <w:rFonts w:hint="eastAsia"/>
      </w:rPr>
    </w:lvl>
  </w:abstractNum>
  <w:abstractNum w:abstractNumId="7">
    <w:nsid w:val="4C2AC38A"/>
    <w:multiLevelType w:val="singleLevel"/>
    <w:tmpl w:val="4C2AC38A"/>
    <w:lvl w:ilvl="0" w:tentative="0">
      <w:start w:val="1"/>
      <w:numFmt w:val="decimal"/>
      <w:suff w:val="space"/>
      <w:lvlText w:val="%1."/>
      <w:lvlJc w:val="left"/>
    </w:lvl>
  </w:abstractNum>
  <w:abstractNum w:abstractNumId="8">
    <w:nsid w:val="6A18A551"/>
    <w:multiLevelType w:val="singleLevel"/>
    <w:tmpl w:val="6A18A551"/>
    <w:lvl w:ilvl="0" w:tentative="0">
      <w:start w:val="1"/>
      <w:numFmt w:val="decimal"/>
      <w:suff w:val="nothing"/>
      <w:lvlText w:val="%1．"/>
      <w:lvlJc w:val="left"/>
      <w:pPr>
        <w:ind w:left="0" w:firstLine="400"/>
      </w:pPr>
      <w:rPr>
        <w:rFonts w:hint="default"/>
      </w:rPr>
    </w:lvl>
  </w:abstractNum>
  <w:abstractNum w:abstractNumId="9">
    <w:nsid w:val="7182F057"/>
    <w:multiLevelType w:val="singleLevel"/>
    <w:tmpl w:val="7182F057"/>
    <w:lvl w:ilvl="0" w:tentative="0">
      <w:start w:val="1"/>
      <w:numFmt w:val="decimal"/>
      <w:lvlText w:val="%1."/>
      <w:lvlJc w:val="left"/>
      <w:pPr>
        <w:ind w:left="425" w:hanging="425"/>
      </w:pPr>
      <w:rPr>
        <w:rFonts w:hint="default"/>
      </w:rPr>
    </w:lvl>
  </w:abstractNum>
  <w:num w:numId="1">
    <w:abstractNumId w:val="4"/>
    <w:lvlOverride w:ilvl="0">
      <w:startOverride w:val="1"/>
    </w:lvlOverride>
  </w:num>
  <w:num w:numId="2">
    <w:abstractNumId w:val="7"/>
  </w:num>
  <w:num w:numId="3">
    <w:abstractNumId w:val="2"/>
  </w:num>
  <w:num w:numId="4">
    <w:abstractNumId w:val="5"/>
  </w:num>
  <w:num w:numId="5">
    <w:abstractNumId w:val="3"/>
  </w:num>
  <w:num w:numId="6">
    <w:abstractNumId w:val="1"/>
  </w:num>
  <w:num w:numId="7">
    <w:abstractNumId w:val="8"/>
  </w:num>
  <w:num w:numId="8">
    <w:abstractNumId w:val="0"/>
  </w:num>
  <w:num w:numId="9">
    <w:abstractNumId w:val="9"/>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8D5BCE"/>
    <w:rsid w:val="01DB6B3D"/>
    <w:rsid w:val="02082AB0"/>
    <w:rsid w:val="047F6611"/>
    <w:rsid w:val="04A2403A"/>
    <w:rsid w:val="0920424B"/>
    <w:rsid w:val="09254EAC"/>
    <w:rsid w:val="10772EB5"/>
    <w:rsid w:val="11042718"/>
    <w:rsid w:val="11DE5603"/>
    <w:rsid w:val="13BA318B"/>
    <w:rsid w:val="1C28711D"/>
    <w:rsid w:val="1FC61767"/>
    <w:rsid w:val="234F5E22"/>
    <w:rsid w:val="235F129F"/>
    <w:rsid w:val="23F27268"/>
    <w:rsid w:val="25013EB0"/>
    <w:rsid w:val="252D19D6"/>
    <w:rsid w:val="25A87FB8"/>
    <w:rsid w:val="25C42A91"/>
    <w:rsid w:val="2CDF22DA"/>
    <w:rsid w:val="2D230D73"/>
    <w:rsid w:val="2ED2630E"/>
    <w:rsid w:val="318547A2"/>
    <w:rsid w:val="323F2693"/>
    <w:rsid w:val="330D5B2A"/>
    <w:rsid w:val="33F53B4D"/>
    <w:rsid w:val="34F377F3"/>
    <w:rsid w:val="34FF5DC8"/>
    <w:rsid w:val="364405EB"/>
    <w:rsid w:val="36817EBB"/>
    <w:rsid w:val="390D4485"/>
    <w:rsid w:val="39CB2D53"/>
    <w:rsid w:val="3A4B4F63"/>
    <w:rsid w:val="3EE92E85"/>
    <w:rsid w:val="3F114200"/>
    <w:rsid w:val="3F8D4CE8"/>
    <w:rsid w:val="41417945"/>
    <w:rsid w:val="429B49C2"/>
    <w:rsid w:val="434F5A3E"/>
    <w:rsid w:val="46350E3A"/>
    <w:rsid w:val="513C3EF8"/>
    <w:rsid w:val="556B3A6A"/>
    <w:rsid w:val="589B3C10"/>
    <w:rsid w:val="596D27DA"/>
    <w:rsid w:val="5DA113C7"/>
    <w:rsid w:val="603E0EA5"/>
    <w:rsid w:val="607D1710"/>
    <w:rsid w:val="618966F9"/>
    <w:rsid w:val="61BF2636"/>
    <w:rsid w:val="66020C06"/>
    <w:rsid w:val="66CE0F06"/>
    <w:rsid w:val="6C373C66"/>
    <w:rsid w:val="71CE0F14"/>
    <w:rsid w:val="725D12C8"/>
    <w:rsid w:val="76892D68"/>
    <w:rsid w:val="79597486"/>
    <w:rsid w:val="7A036D45"/>
    <w:rsid w:val="7A2558BE"/>
    <w:rsid w:val="7C736239"/>
    <w:rsid w:val="7D1948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4"/>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20"/>
      <w:szCs w:val="20"/>
      <w:lang w:val="zh-CN" w:eastAsia="zh-CN" w:bidi="zh-CN"/>
    </w:rPr>
  </w:style>
  <w:style w:type="paragraph" w:styleId="3">
    <w:name w:val="Body Text Indent"/>
    <w:basedOn w:val="1"/>
    <w:qFormat/>
    <w:uiPriority w:val="0"/>
    <w:pPr>
      <w:spacing w:after="120" w:afterLines="0"/>
      <w:ind w:left="420" w:leftChars="20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p0"/>
    <w:basedOn w:val="1"/>
    <w:qFormat/>
    <w:uiPriority w:val="0"/>
  </w:style>
  <w:style w:type="paragraph" w:customStyle="1" w:styleId="11">
    <w:name w:val="Table Paragraph"/>
    <w:basedOn w:val="1"/>
    <w:qFormat/>
    <w:uiPriority w:val="1"/>
    <w:pPr>
      <w:ind w:left="64"/>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陈凯</cp:lastModifiedBy>
  <dcterms:modified xsi:type="dcterms:W3CDTF">2020-09-25T00:39:18Z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