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96F" w:rsidRDefault="006A396F" w:rsidP="00EC7A20">
      <w:pPr>
        <w:pStyle w:val="10"/>
        <w:spacing w:before="0" w:after="0" w:line="480" w:lineRule="auto"/>
        <w:jc w:val="center"/>
        <w:rPr>
          <w:rFonts w:ascii="宋体" w:hAnsi="宋体" w:cs="宋体"/>
          <w:sz w:val="30"/>
          <w:szCs w:val="30"/>
        </w:rPr>
      </w:pPr>
      <w:r>
        <w:rPr>
          <w:rFonts w:ascii="宋体" w:hAnsi="宋体" w:cs="宋体" w:hint="eastAsia"/>
          <w:sz w:val="30"/>
          <w:szCs w:val="30"/>
        </w:rPr>
        <w:t>网络升优化级及安全设备采购项目</w:t>
      </w:r>
    </w:p>
    <w:p w:rsidR="00EC7A20" w:rsidRDefault="006A396F" w:rsidP="00EC7A20">
      <w:pPr>
        <w:pStyle w:val="10"/>
        <w:spacing w:before="0" w:after="0" w:line="480" w:lineRule="auto"/>
        <w:jc w:val="center"/>
        <w:rPr>
          <w:rFonts w:ascii="宋体" w:hAnsi="宋体" w:cs="宋体"/>
          <w:sz w:val="24"/>
          <w:szCs w:val="24"/>
        </w:rPr>
      </w:pPr>
      <w:r>
        <w:rPr>
          <w:rFonts w:ascii="宋体" w:hAnsi="宋体" w:cs="宋体"/>
          <w:sz w:val="30"/>
          <w:szCs w:val="30"/>
        </w:rPr>
        <w:t>技术文件</w:t>
      </w:r>
    </w:p>
    <w:p w:rsidR="00843F3C" w:rsidRDefault="00656104">
      <w:pPr>
        <w:spacing w:line="360" w:lineRule="auto"/>
        <w:ind w:firstLineChars="200" w:firstLine="480"/>
        <w:jc w:val="left"/>
        <w:rPr>
          <w:rFonts w:ascii="宋体" w:hAnsi="宋体" w:cs="宋体"/>
          <w:sz w:val="24"/>
        </w:rPr>
      </w:pPr>
      <w:r>
        <w:rPr>
          <w:rFonts w:ascii="宋体" w:hAnsi="宋体" w:cs="宋体" w:hint="eastAsia"/>
          <w:sz w:val="24"/>
        </w:rPr>
        <w:t>为了加强网络信息安全及运维能力，采购相应的网络安全分析设备、维护软硬件。即增加办公内网的软件系统安全及内网主干设备和全厂网络故障维护辅助软件。</w:t>
      </w:r>
    </w:p>
    <w:p w:rsidR="00843F3C" w:rsidRDefault="00656104">
      <w:pPr>
        <w:spacing w:line="360" w:lineRule="auto"/>
        <w:ind w:firstLineChars="200" w:firstLine="480"/>
        <w:jc w:val="left"/>
        <w:rPr>
          <w:rFonts w:ascii="宋体" w:hAnsi="宋体" w:cs="宋体"/>
          <w:sz w:val="24"/>
        </w:rPr>
      </w:pPr>
      <w:r>
        <w:rPr>
          <w:rFonts w:ascii="宋体" w:hAnsi="宋体" w:cs="宋体" w:hint="eastAsia"/>
          <w:sz w:val="24"/>
        </w:rPr>
        <w:t>内部网络系统建成以双核心星型架构、万兆主干、线速千兆，从而保障内部数据、业</w:t>
      </w:r>
      <w:r w:rsidR="00EC7A20">
        <w:rPr>
          <w:rFonts w:ascii="宋体" w:hAnsi="宋体" w:cs="宋体" w:hint="eastAsia"/>
          <w:sz w:val="24"/>
        </w:rPr>
        <w:t>务的应用。网络必须具备升级和扩容能力，以满足企业不断增长的业务</w:t>
      </w:r>
      <w:r>
        <w:rPr>
          <w:rFonts w:ascii="宋体" w:hAnsi="宋体" w:cs="宋体" w:hint="eastAsia"/>
          <w:sz w:val="24"/>
        </w:rPr>
        <w:t>需求。所有网络设备要具有高可扩展性和高可靠性、冗余性，并通过相应的路由协议实现链路之间的保护和负载均衡，以保证网络安全、稳定的运行，确保企业各应用子系统的运行</w:t>
      </w:r>
      <w:bookmarkStart w:id="0" w:name="_Hlt23246627"/>
      <w:bookmarkEnd w:id="0"/>
      <w:r>
        <w:rPr>
          <w:rFonts w:ascii="宋体" w:hAnsi="宋体" w:cs="宋体" w:hint="eastAsia"/>
          <w:sz w:val="24"/>
        </w:rPr>
        <w:t>。</w:t>
      </w:r>
    </w:p>
    <w:p w:rsidR="00843F3C" w:rsidRDefault="00D753D3">
      <w:pPr>
        <w:numPr>
          <w:ilvl w:val="0"/>
          <w:numId w:val="2"/>
        </w:numPr>
        <w:spacing w:line="360" w:lineRule="auto"/>
        <w:ind w:firstLineChars="200" w:firstLine="480"/>
        <w:jc w:val="left"/>
        <w:rPr>
          <w:rFonts w:ascii="宋体" w:hAnsi="宋体" w:cs="宋体"/>
          <w:sz w:val="24"/>
        </w:rPr>
      </w:pPr>
      <w:r>
        <w:rPr>
          <w:rFonts w:ascii="宋体" w:hAnsi="宋体" w:cs="宋体" w:hint="eastAsia"/>
          <w:sz w:val="24"/>
        </w:rPr>
        <w:t>投标</w:t>
      </w:r>
      <w:r w:rsidR="005103AA">
        <w:rPr>
          <w:rFonts w:ascii="宋体" w:hAnsi="宋体" w:cs="宋体" w:hint="eastAsia"/>
          <w:sz w:val="24"/>
        </w:rPr>
        <w:t>公司</w:t>
      </w:r>
      <w:r w:rsidR="00656104">
        <w:rPr>
          <w:rFonts w:ascii="宋体" w:hAnsi="宋体" w:cs="宋体" w:hint="eastAsia"/>
          <w:sz w:val="24"/>
        </w:rPr>
        <w:t>需要具有系统集成或网络运维能力资质</w:t>
      </w:r>
    </w:p>
    <w:p w:rsidR="00843F3C" w:rsidRDefault="00D753D3">
      <w:pPr>
        <w:numPr>
          <w:ilvl w:val="0"/>
          <w:numId w:val="2"/>
        </w:numPr>
        <w:spacing w:line="360" w:lineRule="auto"/>
        <w:ind w:firstLineChars="200" w:firstLine="480"/>
        <w:jc w:val="left"/>
        <w:rPr>
          <w:rFonts w:ascii="宋体" w:hAnsi="宋体" w:cs="宋体"/>
          <w:sz w:val="24"/>
        </w:rPr>
      </w:pPr>
      <w:r>
        <w:rPr>
          <w:rFonts w:ascii="宋体" w:hAnsi="宋体" w:cs="宋体" w:hint="eastAsia"/>
          <w:sz w:val="24"/>
        </w:rPr>
        <w:t>投标</w:t>
      </w:r>
      <w:r w:rsidR="005103AA">
        <w:rPr>
          <w:rFonts w:ascii="宋体" w:hAnsi="宋体" w:cs="宋体" w:hint="eastAsia"/>
          <w:sz w:val="24"/>
        </w:rPr>
        <w:t>公司</w:t>
      </w:r>
      <w:r w:rsidR="00656104">
        <w:rPr>
          <w:rFonts w:ascii="宋体" w:hAnsi="宋体" w:cs="宋体" w:hint="eastAsia"/>
          <w:sz w:val="24"/>
        </w:rPr>
        <w:t>需要设备质保三年，投标单位需要提供制造商售后三年质保承诺函。</w:t>
      </w:r>
    </w:p>
    <w:p w:rsidR="00F55AE2" w:rsidRDefault="00D753D3" w:rsidP="005103AA">
      <w:pPr>
        <w:numPr>
          <w:ilvl w:val="0"/>
          <w:numId w:val="2"/>
        </w:numPr>
        <w:spacing w:line="360" w:lineRule="auto"/>
        <w:ind w:firstLineChars="200" w:firstLine="480"/>
        <w:jc w:val="left"/>
        <w:rPr>
          <w:rFonts w:ascii="宋体" w:hAnsi="宋体" w:cs="宋体"/>
          <w:sz w:val="24"/>
        </w:rPr>
      </w:pPr>
      <w:r>
        <w:rPr>
          <w:rFonts w:ascii="宋体" w:hAnsi="宋体" w:cs="宋体" w:hint="eastAsia"/>
          <w:sz w:val="24"/>
        </w:rPr>
        <w:t>投标</w:t>
      </w:r>
      <w:r w:rsidR="005103AA">
        <w:rPr>
          <w:rFonts w:ascii="宋体" w:hAnsi="宋体" w:cs="宋体" w:hint="eastAsia"/>
          <w:sz w:val="24"/>
        </w:rPr>
        <w:t>公司</w:t>
      </w:r>
      <w:r w:rsidR="00F55AE2" w:rsidRPr="005103AA">
        <w:rPr>
          <w:rFonts w:ascii="宋体" w:hAnsi="宋体" w:cs="宋体" w:hint="eastAsia"/>
          <w:sz w:val="24"/>
        </w:rPr>
        <w:t>有近两年网络优化及网络安全工程项目成功案例</w:t>
      </w:r>
      <w:r w:rsidR="005103AA">
        <w:rPr>
          <w:rFonts w:ascii="宋体" w:hAnsi="宋体" w:cs="宋体"/>
          <w:sz w:val="24"/>
        </w:rPr>
        <w:t>3</w:t>
      </w:r>
      <w:r w:rsidR="00F55AE2" w:rsidRPr="005103AA">
        <w:rPr>
          <w:rFonts w:ascii="宋体" w:hAnsi="宋体" w:cs="宋体" w:hint="eastAsia"/>
          <w:sz w:val="24"/>
        </w:rPr>
        <w:t>个或以上者（提供合同原件及联系人、联系电话，备查）。</w:t>
      </w:r>
      <w:bookmarkStart w:id="1" w:name="_GoBack"/>
      <w:bookmarkEnd w:id="1"/>
    </w:p>
    <w:p w:rsidR="00843F3C" w:rsidRDefault="0096452D" w:rsidP="000E12D2">
      <w:pPr>
        <w:spacing w:beforeLines="50" w:before="156" w:afterLines="50" w:after="156" w:line="360" w:lineRule="auto"/>
        <w:jc w:val="center"/>
        <w:rPr>
          <w:rFonts w:ascii="宋体" w:hAnsi="宋体" w:cs="宋体"/>
          <w:b/>
          <w:sz w:val="28"/>
          <w:szCs w:val="28"/>
        </w:rPr>
      </w:pPr>
      <w:r>
        <w:rPr>
          <w:rFonts w:ascii="宋体" w:hAnsi="宋体" w:cs="宋体" w:hint="eastAsia"/>
          <w:b/>
          <w:sz w:val="28"/>
          <w:szCs w:val="28"/>
        </w:rPr>
        <w:t>技术</w:t>
      </w:r>
      <w:r>
        <w:rPr>
          <w:rFonts w:ascii="宋体" w:hAnsi="宋体" w:cs="宋体"/>
          <w:b/>
          <w:sz w:val="28"/>
          <w:szCs w:val="28"/>
        </w:rPr>
        <w:t>参数</w:t>
      </w:r>
      <w:r w:rsidR="00656104">
        <w:rPr>
          <w:rFonts w:ascii="宋体" w:hAnsi="宋体" w:cs="宋体" w:hint="eastAsia"/>
          <w:b/>
          <w:sz w:val="28"/>
          <w:szCs w:val="28"/>
        </w:rPr>
        <w:t>清单</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87"/>
        <w:gridCol w:w="6063"/>
        <w:gridCol w:w="787"/>
        <w:gridCol w:w="704"/>
        <w:gridCol w:w="923"/>
      </w:tblGrid>
      <w:tr w:rsidR="00843F3C">
        <w:trPr>
          <w:trHeight w:val="23"/>
          <w:tblHeader/>
          <w:jc w:val="center"/>
        </w:trPr>
        <w:tc>
          <w:tcPr>
            <w:tcW w:w="641" w:type="dxa"/>
            <w:shd w:val="clear" w:color="auto" w:fill="auto"/>
            <w:vAlign w:val="center"/>
          </w:tcPr>
          <w:p w:rsidR="00843F3C" w:rsidRDefault="00656104">
            <w:pPr>
              <w:spacing w:line="240" w:lineRule="atLeast"/>
              <w:jc w:val="center"/>
              <w:rPr>
                <w:rFonts w:ascii="宋体" w:hAnsi="宋体" w:cs="宋体"/>
                <w:b/>
                <w:bCs/>
                <w:szCs w:val="21"/>
              </w:rPr>
            </w:pPr>
            <w:r>
              <w:rPr>
                <w:rFonts w:ascii="宋体" w:hAnsi="宋体" w:cs="宋体" w:hint="eastAsia"/>
                <w:b/>
                <w:bCs/>
                <w:szCs w:val="21"/>
              </w:rPr>
              <w:t>序号</w:t>
            </w:r>
          </w:p>
        </w:tc>
        <w:tc>
          <w:tcPr>
            <w:tcW w:w="1087" w:type="dxa"/>
            <w:shd w:val="clear" w:color="auto" w:fill="auto"/>
            <w:vAlign w:val="center"/>
          </w:tcPr>
          <w:p w:rsidR="00843F3C" w:rsidRDefault="00656104">
            <w:pPr>
              <w:spacing w:line="240" w:lineRule="atLeast"/>
              <w:jc w:val="center"/>
              <w:rPr>
                <w:rFonts w:ascii="宋体" w:hAnsi="宋体" w:cs="宋体"/>
                <w:b/>
                <w:bCs/>
                <w:szCs w:val="21"/>
              </w:rPr>
            </w:pPr>
            <w:r>
              <w:rPr>
                <w:rFonts w:ascii="宋体" w:hAnsi="宋体" w:cs="宋体" w:hint="eastAsia"/>
                <w:b/>
                <w:bCs/>
                <w:szCs w:val="21"/>
              </w:rPr>
              <w:t>名称</w:t>
            </w:r>
          </w:p>
        </w:tc>
        <w:tc>
          <w:tcPr>
            <w:tcW w:w="6063" w:type="dxa"/>
            <w:shd w:val="clear" w:color="auto" w:fill="auto"/>
            <w:vAlign w:val="center"/>
          </w:tcPr>
          <w:p w:rsidR="00843F3C" w:rsidRDefault="00656104">
            <w:pPr>
              <w:spacing w:line="240" w:lineRule="atLeast"/>
              <w:jc w:val="center"/>
              <w:rPr>
                <w:rFonts w:ascii="宋体" w:hAnsi="宋体" w:cs="宋体"/>
                <w:b/>
                <w:bCs/>
                <w:szCs w:val="21"/>
              </w:rPr>
            </w:pPr>
            <w:r>
              <w:rPr>
                <w:rFonts w:ascii="宋体" w:hAnsi="宋体" w:cs="宋体" w:hint="eastAsia"/>
                <w:b/>
                <w:bCs/>
                <w:szCs w:val="21"/>
              </w:rPr>
              <w:t>参数说明</w:t>
            </w:r>
          </w:p>
        </w:tc>
        <w:tc>
          <w:tcPr>
            <w:tcW w:w="787" w:type="dxa"/>
            <w:vAlign w:val="center"/>
          </w:tcPr>
          <w:p w:rsidR="00843F3C" w:rsidRDefault="00656104">
            <w:pPr>
              <w:spacing w:line="240" w:lineRule="atLeast"/>
              <w:jc w:val="center"/>
              <w:rPr>
                <w:rFonts w:ascii="宋体" w:hAnsi="宋体" w:cs="宋体"/>
                <w:b/>
                <w:bCs/>
                <w:szCs w:val="21"/>
              </w:rPr>
            </w:pPr>
            <w:r>
              <w:rPr>
                <w:rFonts w:ascii="宋体" w:hAnsi="宋体" w:cs="宋体" w:hint="eastAsia"/>
                <w:b/>
                <w:bCs/>
                <w:szCs w:val="21"/>
              </w:rPr>
              <w:t>单位</w:t>
            </w:r>
          </w:p>
        </w:tc>
        <w:tc>
          <w:tcPr>
            <w:tcW w:w="704" w:type="dxa"/>
            <w:vAlign w:val="center"/>
          </w:tcPr>
          <w:p w:rsidR="00843F3C" w:rsidRDefault="00656104">
            <w:pPr>
              <w:spacing w:line="240" w:lineRule="atLeast"/>
              <w:jc w:val="center"/>
              <w:rPr>
                <w:rFonts w:ascii="宋体" w:hAnsi="宋体" w:cs="宋体"/>
                <w:b/>
                <w:bCs/>
                <w:szCs w:val="21"/>
              </w:rPr>
            </w:pPr>
            <w:r>
              <w:rPr>
                <w:rFonts w:ascii="宋体" w:hAnsi="宋体" w:cs="宋体" w:hint="eastAsia"/>
                <w:b/>
                <w:bCs/>
                <w:szCs w:val="21"/>
              </w:rPr>
              <w:t>数量</w:t>
            </w:r>
          </w:p>
        </w:tc>
        <w:tc>
          <w:tcPr>
            <w:tcW w:w="923" w:type="dxa"/>
            <w:vAlign w:val="center"/>
          </w:tcPr>
          <w:p w:rsidR="00843F3C" w:rsidRDefault="00656104">
            <w:pPr>
              <w:spacing w:line="240" w:lineRule="atLeast"/>
              <w:jc w:val="center"/>
              <w:rPr>
                <w:rFonts w:ascii="宋体" w:hAnsi="宋体" w:cs="宋体"/>
                <w:b/>
                <w:bCs/>
                <w:szCs w:val="21"/>
              </w:rPr>
            </w:pPr>
            <w:r>
              <w:rPr>
                <w:rFonts w:ascii="宋体" w:hAnsi="宋体" w:cs="宋体" w:hint="eastAsia"/>
                <w:b/>
                <w:bCs/>
                <w:szCs w:val="21"/>
              </w:rPr>
              <w:t>备注</w:t>
            </w:r>
          </w:p>
        </w:tc>
      </w:tr>
      <w:tr w:rsidR="00843F3C">
        <w:trPr>
          <w:trHeight w:val="23"/>
          <w:jc w:val="center"/>
        </w:trPr>
        <w:tc>
          <w:tcPr>
            <w:tcW w:w="641"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1</w:t>
            </w:r>
          </w:p>
        </w:tc>
        <w:tc>
          <w:tcPr>
            <w:tcW w:w="1087"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安全审计</w:t>
            </w:r>
          </w:p>
        </w:tc>
        <w:tc>
          <w:tcPr>
            <w:tcW w:w="6063" w:type="dxa"/>
            <w:shd w:val="clear" w:color="auto" w:fill="auto"/>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1、设备要求：标准机架尺寸，1U，含交流单电源模块，2个USB接口，1个RJ45串口，1个GE管理口，4个GE电口（内置电口Bypass），4个SFP光口，检测能力≥600Mbps；</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2、提供审计ORACLE、SQL Server、MY SQL、DB2、Sybase、Informix、Postgresql等各类主流数据库系统，支持分析、提取SQL语句中绑定变量，并可完全监测还原SQL操作语句包括源IP地址、目的IP地址、访问时间、MAC地址、数据库用户名、客户端类型、数据库操作类型、数据库表名、字段名等。</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3、主动审计：支持基于域名、关键字正则表达式等多种组合的主动内容审计策略，可扫描指定网站，分析网页页面是否含有非法敏感信息，提供相关证明文件。</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4、通过扫描指定网站，分析检测网页是否被挂马，并实时告警响应记录。</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★5、web信誉：通过对互联网资源（域名、IP地址、URL等）进行威胁分析和信誉评级，将含有恶意代码的网站例入Web信誉库，达到阻止过滤含有恶意代码的高风险网站，实现对终端用户的安全保护，提供截图证明。</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6、具有超过1000万条的英文URL数据库，超过30种分类，如不良言论、色情暴力等；可过滤非法不良网站，并支持用户添加自定义URL。</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7、移动应用审计：支持移动应用审计，能够识别通过移动热点</w:t>
            </w:r>
            <w:r>
              <w:rPr>
                <w:rFonts w:ascii="宋体" w:hAnsi="宋体" w:cs="宋体" w:hint="eastAsia"/>
                <w:color w:val="000000"/>
                <w:kern w:val="0"/>
                <w:szCs w:val="21"/>
              </w:rPr>
              <w:lastRenderedPageBreak/>
              <w:t>所访问的移动类应用，例如IM类、社交类、网购类、影音类、资讯类等应用，并记录IP地址、应用名称、访问时间等信息；能够对主流的移动应用进行内容层面的详细审计，主要是对微博、网页言论、网页访问详细记录IP地址、URL地址、访问时间、访问或发布的具体内容等信息。</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★8、用户身份智能关联：支持用户身份信息智能关联技术，可将用户各种身份信息与其终端IP地址进行智能关联形成用户身份信息库，从而提高事件定位的精确度，提供截图证明。</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9、内容审计：支持基于论坛主题、发帖内容的关键字审计功能；支持基于用户/用户组、时间、关键字等多种组合审计策略，可记录源IP地址、目的IP地址、发帖论坛、发帖人、主题、发帖时间、发帖内容等，并提供内容还原功能。</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10、具有超过1000万条的英文URL数据库，可过滤非法不良网站，并支持用户添加自定义URL； 通过对互联网资源（域名、IP地址、URL等）进行威胁分析和信誉评级，将含有恶意代码的网站例入Web信誉库，达到阻止过滤含有恶意代码的高风险网站，实现对终端用户的安全保护。</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★11、支持无线热点发现功能，能够实时、自动发现办公网络内的无线热点，记录无线热点访问网络时所使用的IP地址。</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★12、支持基于域名、关键字正则表达式等多种组合的主动内容审计策略，可扫描指定网站，分析网页页面是否含有非法敏感信息，通过扫描指定网站，分析检测网页是否被挂马，并实时告警响应记录。</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13、支持QQ、MSN Messenger、ICQ、雅虎通、新浪UC工具审计、支持HTTP、FTP协议文件传输审计：支持TELNET、FTP等业务操作进行命令级审计。</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14、提供流量审计：支持基于时间、协议、IP地址等组合流量审计策略、支持用户识别功能，可将终端IP地址与终端用户身份绑定，在审计日志中显示终端用户身份信息、支持用户身份信息智能关联技术，可将用户各种身份信息与其终端IP地址进行智能关联形成用户身份信息库，从而提高事件定位的精确。</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资质要求：</w:t>
            </w:r>
          </w:p>
          <w:p w:rsidR="00843F3C" w:rsidRDefault="00656104">
            <w:pPr>
              <w:spacing w:line="240" w:lineRule="atLeast"/>
              <w:jc w:val="left"/>
              <w:rPr>
                <w:rFonts w:ascii="宋体" w:hAnsi="宋体" w:cs="宋体"/>
                <w:szCs w:val="21"/>
              </w:rPr>
            </w:pPr>
            <w:r>
              <w:rPr>
                <w:rFonts w:ascii="宋体" w:hAnsi="宋体" w:cs="宋体" w:hint="eastAsia"/>
                <w:color w:val="000000"/>
                <w:kern w:val="0"/>
                <w:szCs w:val="21"/>
              </w:rPr>
              <w:t>★15、公安部《计算机信息系统安全专用产品销售许可证》（增强级）、中国信息安全认证中心的《中国国家信息安全产品认证证书》（增强级）、《信息技术产品安全测评证书--EAL3+》、IPV6 Ready LOGO认证，厂商需要通过ISO27001和ISO9001认证；厂商获得中国信息安全测评中心颁发的信息安全服务安全工程类三级资质证书；具备国家信息安全测评信息安全服务资质证书风险评估二级资质证书；厂商为应用安全联盟会员。</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lastRenderedPageBreak/>
              <w:t>台</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1</w:t>
            </w:r>
          </w:p>
        </w:tc>
        <w:tc>
          <w:tcPr>
            <w:tcW w:w="923" w:type="dxa"/>
            <w:vAlign w:val="center"/>
          </w:tcPr>
          <w:p w:rsidR="00843F3C" w:rsidRDefault="00656104">
            <w:pPr>
              <w:spacing w:line="240" w:lineRule="atLeast"/>
              <w:jc w:val="left"/>
              <w:rPr>
                <w:rFonts w:ascii="宋体" w:hAnsi="宋体" w:cs="宋体"/>
                <w:szCs w:val="21"/>
              </w:rPr>
            </w:pPr>
            <w:r>
              <w:rPr>
                <w:rFonts w:ascii="宋体" w:hAnsi="宋体" w:cs="宋体" w:hint="eastAsia"/>
                <w:szCs w:val="21"/>
              </w:rPr>
              <w:t>提供制造商售后三年质保承诺函。</w:t>
            </w:r>
          </w:p>
          <w:p w:rsidR="00843F3C" w:rsidRDefault="00843F3C">
            <w:pPr>
              <w:widowControl/>
              <w:spacing w:line="240" w:lineRule="atLeast"/>
              <w:jc w:val="left"/>
              <w:rPr>
                <w:rFonts w:ascii="宋体" w:hAnsi="宋体" w:cs="宋体"/>
                <w:szCs w:val="21"/>
              </w:rPr>
            </w:pPr>
          </w:p>
        </w:tc>
      </w:tr>
      <w:tr w:rsidR="00843F3C">
        <w:trPr>
          <w:trHeight w:val="23"/>
          <w:jc w:val="center"/>
        </w:trPr>
        <w:tc>
          <w:tcPr>
            <w:tcW w:w="641"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lastRenderedPageBreak/>
              <w:t>2</w:t>
            </w:r>
          </w:p>
        </w:tc>
        <w:tc>
          <w:tcPr>
            <w:tcW w:w="1087"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数据库审计</w:t>
            </w:r>
          </w:p>
          <w:p w:rsidR="00843F3C" w:rsidRDefault="00843F3C">
            <w:pPr>
              <w:spacing w:line="240" w:lineRule="atLeast"/>
              <w:jc w:val="left"/>
              <w:rPr>
                <w:rFonts w:ascii="宋体" w:hAnsi="宋体" w:cs="宋体"/>
                <w:szCs w:val="21"/>
              </w:rPr>
            </w:pPr>
          </w:p>
        </w:tc>
        <w:tc>
          <w:tcPr>
            <w:tcW w:w="6063" w:type="dxa"/>
            <w:shd w:val="clear" w:color="auto" w:fill="auto"/>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1、设备要求：1U标准机架尺寸，含交流单电源模块，2个USB接口，1个RJ45串口，1个GE管理口，6个GE电口，1个扩展槽位，支持4千兆光/4千兆电，系统自带内部存储，存储空间不低于2TB；支持外部存储设备，在线日志量2亿条以上，归档日</w:t>
            </w:r>
            <w:r>
              <w:rPr>
                <w:rFonts w:ascii="宋体" w:hAnsi="宋体" w:cs="宋体" w:hint="eastAsia"/>
                <w:szCs w:val="21"/>
              </w:rPr>
              <w:lastRenderedPageBreak/>
              <w:t>志量15亿条以上，纯数据库网络吞吐量：100Mbit/秒，并发会话数不小于1000；日志采集能力：5000条-10000条/秒，检索能力：1000万数据规模＜5秒，SQL处理性能≥3000条/秒 。</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★2.数据库审计：审计MS SQL Server、Oracle、DB2、Sybase、MySQL、Informix、Postgresql、达梦、金仓、南通、神通、在内的多种数据库，基于lex/yacc的SQL完全解析；基于AppSniffer探针机制应用关联审计；增强审计要素影响行数、返回行数、工具名称；提供针对入侵行为的监控、审计，提供配置界面截图。</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3.审计要素：审计要素须包括：执行人：审计到前端的应用用户、数据库用户、操作系统用户等；执行方式：通过哪些客户端应用程序或第三方工具执行得操作；影响范围：该操作执行的影响范围，如查询、修改、批量修改、整表删除、聚合函数的统计、创建表或删除的记录行数；执行结果：执行成功与否的结果以及返回结果集，如查询操作的返回内容，提供配置界面截图。</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4.复杂SQL语句支持：准确审计长SQL语句，有效分割、准确审计多SQL语句，准确审计绑定变量的SQL语句，提供配置界面截图。</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5.应用管理审计模块：在三层数据库环境中，能够精确关联执行数据库操作的前端WEB应用用户，在并发1000个连接的情况下，准确率应达到100%，公示期内，中标单位需提供产品进行客户现场测试）。</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★6.数据库漏洞攻击监测：能对基于数据库漏洞进行攻击行为监测和告警，默认支持400个以上的数据库漏洞攻击规则库，提供配置界面截图。</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7.会话分析：基于客户端IP、数据库用户、访问程序统计会话、支持会话检索；失败会话和并发会话统计；支持应用层关联会话查询，提供配置界面截图。</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8.数据库自动发现：支持数据库自动发现，设备无需添加、即插即用，提供配置界面截图。</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9.事件分析：依据安全策略，以时间为基线，统计异常事件的发生数量和趋势，提供配置界面截图。</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10.告警分析：依据安全策略，以时间为基线，统计严重告警事件的发生数量和趋势；综合分析：以数据库操作类型为基线统计各类操作状况；会话统计：以时间和IP为基线统计会话的数量、流量、操作的语句数量，提供配置界面截图。</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11.</w:t>
            </w:r>
            <w:r>
              <w:rPr>
                <w:rFonts w:ascii="宋体" w:hAnsi="宋体" w:cs="宋体" w:hint="eastAsia"/>
                <w:szCs w:val="21"/>
              </w:rPr>
              <w:t xml:space="preserve"> </w:t>
            </w:r>
            <w:r>
              <w:rPr>
                <w:rFonts w:ascii="宋体" w:hAnsi="宋体" w:cs="宋体" w:hint="eastAsia"/>
                <w:color w:val="000000"/>
                <w:kern w:val="0"/>
                <w:szCs w:val="21"/>
              </w:rPr>
              <w:t>风险分析：根据敏感语句、sql注入、漏洞攻击、风险操作等维度以时间维度统计数据库分析信息。支持规则命中查询、支持风险检索。</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12.报表：支持自定义报表：定期自动生成生成：日、周、月、季度、年度综合报表，导出格式支持：WORD\HTML\PDF\EXCEL。</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13.告警策略：支持根据SQL执行结果设定策略及IP、MAC、端口、用户设定告警策略。</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lastRenderedPageBreak/>
              <w:t>14.支持通过预定义业务化审计语言，最终以业务化的语言呈现审计日志信息。</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资质要求：</w:t>
            </w:r>
          </w:p>
          <w:p w:rsidR="00843F3C" w:rsidRDefault="00656104">
            <w:pPr>
              <w:spacing w:line="240" w:lineRule="atLeast"/>
              <w:jc w:val="left"/>
              <w:rPr>
                <w:rFonts w:ascii="宋体" w:hAnsi="宋体" w:cs="宋体"/>
                <w:szCs w:val="21"/>
              </w:rPr>
            </w:pPr>
            <w:r>
              <w:rPr>
                <w:rFonts w:ascii="宋体" w:hAnsi="宋体" w:cs="宋体" w:hint="eastAsia"/>
                <w:color w:val="000000"/>
                <w:kern w:val="0"/>
                <w:szCs w:val="21"/>
              </w:rPr>
              <w:t xml:space="preserve">★15.具备《公安部销售许可证》（数据库安全审计二级）《中国国家信息安全产品认证证书》、《国测信息技术产品安全测评证书》（EAL3+级），厂商获得中国信息安全测评中心颁发的信息安全服务安全工程类三级资质证书；厂商应具备中国信息安全认证中心颁发的信息系统安全集成服务资质一级资质；厂商具备CMMI3认证，厂商为网络安全应急服务支撑单位证书；厂商为国家级漏洞库共享平台成员单位； </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lastRenderedPageBreak/>
              <w:t>台</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1</w:t>
            </w:r>
          </w:p>
        </w:tc>
        <w:tc>
          <w:tcPr>
            <w:tcW w:w="923"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提供制造商售后三年质保承</w:t>
            </w:r>
            <w:r>
              <w:rPr>
                <w:rFonts w:ascii="宋体" w:hAnsi="宋体" w:cs="宋体" w:hint="eastAsia"/>
                <w:szCs w:val="21"/>
              </w:rPr>
              <w:lastRenderedPageBreak/>
              <w:t>诺函</w:t>
            </w:r>
          </w:p>
        </w:tc>
      </w:tr>
      <w:tr w:rsidR="00843F3C">
        <w:trPr>
          <w:trHeight w:val="23"/>
          <w:jc w:val="center"/>
        </w:trPr>
        <w:tc>
          <w:tcPr>
            <w:tcW w:w="641" w:type="dxa"/>
            <w:shd w:val="clear" w:color="auto" w:fill="auto"/>
            <w:vAlign w:val="center"/>
          </w:tcPr>
          <w:p w:rsidR="00843F3C" w:rsidRDefault="0063171E">
            <w:pPr>
              <w:spacing w:line="240" w:lineRule="atLeast"/>
              <w:jc w:val="left"/>
              <w:rPr>
                <w:rFonts w:ascii="宋体" w:hAnsi="宋体" w:cs="宋体"/>
                <w:szCs w:val="21"/>
              </w:rPr>
            </w:pPr>
            <w:r>
              <w:rPr>
                <w:rFonts w:ascii="宋体" w:hAnsi="宋体" w:cs="宋体" w:hint="eastAsia"/>
                <w:szCs w:val="21"/>
              </w:rPr>
              <w:lastRenderedPageBreak/>
              <w:t>3</w:t>
            </w:r>
          </w:p>
        </w:tc>
        <w:tc>
          <w:tcPr>
            <w:tcW w:w="1087" w:type="dxa"/>
            <w:shd w:val="clear" w:color="auto" w:fill="auto"/>
            <w:vAlign w:val="center"/>
          </w:tcPr>
          <w:p w:rsidR="00843F3C" w:rsidRDefault="00656104" w:rsidP="00B0073E">
            <w:pPr>
              <w:spacing w:line="240" w:lineRule="atLeast"/>
              <w:jc w:val="left"/>
              <w:rPr>
                <w:rFonts w:ascii="宋体" w:hAnsi="宋体" w:cs="宋体"/>
                <w:szCs w:val="21"/>
              </w:rPr>
            </w:pPr>
            <w:r>
              <w:rPr>
                <w:rFonts w:ascii="宋体" w:hAnsi="宋体" w:cs="宋体" w:hint="eastAsia"/>
                <w:szCs w:val="21"/>
              </w:rPr>
              <w:t>智能管理中心</w:t>
            </w:r>
          </w:p>
        </w:tc>
        <w:tc>
          <w:tcPr>
            <w:tcW w:w="6063" w:type="dxa"/>
            <w:shd w:val="clear" w:color="auto" w:fill="auto"/>
            <w:vAlign w:val="center"/>
          </w:tcPr>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技术参数要求：</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1. 支持对网络设备、物理服务器、存储设备、操作系统、虚拟化平台、数据库、中间件及其他应用的统一监控管理、统一告警管理、统一报表管理；</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2. 软件产品及组件为自主研发产品，不得采用OEM第三方产品；</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★3. 平台支持基于时间轴同步的资源分析，既可了解资源整体负载和性能的变化规律，也可分析业务负载变化根源。</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4. 支持IP拓扑、自定义拓扑视图、全景拓扑等多种拓扑类型；拓扑可融合链路状态、设备告警等多种信息。全景拓扑可在同一张拓扑上展示网络设备、服务器、虚拟网络设备、虚拟机等IT资源的状态，并可展示其之间的连接关系。</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★5. 平台支持检测存在内存泄漏的主机，并能够从该主机中找出泄漏内存的进程（提供产品截图或录屏）。</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6. 支持多厂商多类型设备管理，包含了设备的基本信息、接口信息、性能数据、面板信息、存储空间，离线自动删除和告警信息等。</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★7. 支持动态性能阈值，学习设备性能指标的历史数据（默认至少5周），动态自学习计算出设备该性能指标的最佳阈值，当性能指标偏离于学习到的最佳阈值时，平台产生性能告警通知运维人员（提供产品截图或者录屏）。</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8. 支持分权管理：超级管理员可以为不同的角色分配不同的功能权限。不同权限的管理员通过Web登录系统后将看到完全不同的功能页面，只能收到来自其管理域范围的事件，只能对其管理域中的监测对象进行监测和操作。</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★9. 支持对常见操作系统的监控管理,包括Windows、AIX、IBM AS400 / iSeries、FreeBSD/OpenBSD、HP-UX/Tru64、Linux、Mac OS、Sun Solaris、中标麒麟等（提供产品截图或录屏）</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★10. 平台支持服务器硬件管理，包括服务器序列号、硬件型号、产品ID、风扇状态/风速、温度、电源功率/状态/模式、处理器状态/缓存/速度、内存大小/状态/频率、网卡状态相关信息的监控以及服务器远程控制（提供产品截图或者录屏）。</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11.支持分权管理：超级管理员可以为不同的角色分配不同的功能权限。不同权限的管理员通过Web登录系统后将看到完全不同</w:t>
            </w:r>
            <w:r>
              <w:rPr>
                <w:rFonts w:ascii="宋体" w:hAnsi="宋体" w:cs="宋体" w:hint="eastAsia"/>
                <w:color w:val="000000"/>
                <w:kern w:val="0"/>
                <w:szCs w:val="21"/>
              </w:rPr>
              <w:lastRenderedPageBreak/>
              <w:t>的功能页面，只能收到来自其管理域范围的事件，只能对其管理域中的监测对象进行监测和操作。</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★12. 厂商资质：所投产品生产厂商通过CMMI5认证、、通过知识产权管理体系认证并提供证书复印件、IS050001能源管理体系，提供以上证书复印件。</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配置要求：配置智能化运维平台软件一套包含资源监控节点授权500个；包含软件部署实施服务和硬件三年7*24小时维保服务</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lastRenderedPageBreak/>
              <w:t>套</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1</w:t>
            </w:r>
          </w:p>
        </w:tc>
        <w:tc>
          <w:tcPr>
            <w:tcW w:w="923"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提供制造商售后三年质保承诺函</w:t>
            </w:r>
          </w:p>
        </w:tc>
      </w:tr>
      <w:tr w:rsidR="00843F3C">
        <w:trPr>
          <w:trHeight w:val="23"/>
          <w:jc w:val="center"/>
        </w:trPr>
        <w:tc>
          <w:tcPr>
            <w:tcW w:w="641" w:type="dxa"/>
            <w:shd w:val="clear" w:color="auto" w:fill="auto"/>
            <w:vAlign w:val="center"/>
          </w:tcPr>
          <w:p w:rsidR="00843F3C" w:rsidRDefault="0063171E">
            <w:pPr>
              <w:spacing w:line="240" w:lineRule="atLeast"/>
              <w:jc w:val="left"/>
              <w:rPr>
                <w:rFonts w:ascii="宋体" w:hAnsi="宋体" w:cs="宋体"/>
                <w:szCs w:val="21"/>
              </w:rPr>
            </w:pPr>
            <w:r>
              <w:rPr>
                <w:rFonts w:ascii="宋体" w:hAnsi="宋体" w:cs="宋体" w:hint="eastAsia"/>
                <w:szCs w:val="21"/>
              </w:rPr>
              <w:lastRenderedPageBreak/>
              <w:t>4</w:t>
            </w:r>
          </w:p>
        </w:tc>
        <w:tc>
          <w:tcPr>
            <w:tcW w:w="1087"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汇聚交换机</w:t>
            </w:r>
          </w:p>
        </w:tc>
        <w:tc>
          <w:tcPr>
            <w:tcW w:w="6063" w:type="dxa"/>
            <w:shd w:val="clear" w:color="auto" w:fill="auto"/>
            <w:vAlign w:val="center"/>
          </w:tcPr>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 xml:space="preserve">1. 多业务模块化交换机，交换容量 ≥5.9Tbps；转发性能 ≥220Mpps； </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2. 提供固定千兆光口≥24个，千兆电口≥8个，万兆SFP+光端口≥4个，最大可扩展2个QSPF+光接口；</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3. 支持虚拟化技术（非堆叠技术），实现设备的多虚一功能，能够将多台交换机虚拟化为一台逻辑设备，可以实现一致的转发表项；</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4. 设备支持纵向虚拟化技术，通过将接入设备作为远程接口板加入主设备系统，在纵向维度上将核心层设备和接入层设备虚拟为一台逻辑设备，以达到扩展I/O端口能力和进行集中控制管理的目的；</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★5. 支持扩容FW，IPS高性能模块插卡，使交换机成为一个融合的多业务的承载平台；该功能提供官网截图；</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★6. 内置软AC功能，交换平台实现有线无线一体化集成，实现无线有线本地转发，消除无线带宽瓶颈，该功能提供官网截图；</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7. 支持RIP、OSPF v2/v3、BGP/ BGP4+ for IPV6、ISIS/ISISv6，支持策略路由；</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★8. 支持802.1ae Macsec安全加密，实现MAC层安全加密，包括用户数据加密、数据帧完整性检查及数据源真实性校验，该功能提供官网截图；</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管理方式：支持SNMPv1/v2/v3，WEB网管，支持命令行接口（CLI），Telnet，Console口进行配置，支持系统日志，分级告警，调试信息输出；</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★9. 为保证网络的兼容性，整网核心层，汇聚层和高性能接入层均需要采用智能弹性架构技术，在保证原有网络拓扑不变的情况下，通过将多台设备虚拟为一台统一的逻辑设备，实现网络拓扑、业务、管理的简化，1：N的可靠性成倍提升，提高网络运行性能，该功能提供业务支持截图。</w:t>
            </w:r>
          </w:p>
          <w:p w:rsidR="00843F3C" w:rsidRDefault="00656104">
            <w:pPr>
              <w:pStyle w:val="ad"/>
              <w:spacing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配置要求：配置完整主机、冗余电源、冗余风扇</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台</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10</w:t>
            </w:r>
          </w:p>
        </w:tc>
        <w:tc>
          <w:tcPr>
            <w:tcW w:w="923"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提供制造商售后三年质保承诺函</w:t>
            </w:r>
            <w:r w:rsidR="00F154ED">
              <w:rPr>
                <w:rFonts w:ascii="宋体" w:hAnsi="宋体" w:cs="宋体" w:hint="eastAsia"/>
                <w:szCs w:val="21"/>
              </w:rPr>
              <w:t>,</w:t>
            </w:r>
            <w:r w:rsidR="00F154ED">
              <w:rPr>
                <w:rFonts w:ascii="宋体" w:hAnsi="宋体"/>
                <w:color w:val="000000"/>
                <w:szCs w:val="21"/>
              </w:rPr>
              <w:t xml:space="preserve"> 每台配8个光模块</w:t>
            </w:r>
          </w:p>
        </w:tc>
      </w:tr>
      <w:tr w:rsidR="00843F3C">
        <w:trPr>
          <w:trHeight w:val="23"/>
          <w:jc w:val="center"/>
        </w:trPr>
        <w:tc>
          <w:tcPr>
            <w:tcW w:w="641" w:type="dxa"/>
            <w:shd w:val="clear" w:color="auto" w:fill="auto"/>
            <w:vAlign w:val="center"/>
          </w:tcPr>
          <w:p w:rsidR="00843F3C" w:rsidRDefault="0063171E">
            <w:pPr>
              <w:spacing w:line="240" w:lineRule="atLeast"/>
              <w:jc w:val="left"/>
              <w:rPr>
                <w:rFonts w:ascii="宋体" w:hAnsi="宋体" w:cs="宋体"/>
                <w:szCs w:val="21"/>
              </w:rPr>
            </w:pPr>
            <w:r>
              <w:rPr>
                <w:rFonts w:ascii="宋体" w:hAnsi="宋体" w:cs="宋体" w:hint="eastAsia"/>
                <w:szCs w:val="21"/>
              </w:rPr>
              <w:t>5</w:t>
            </w:r>
          </w:p>
        </w:tc>
        <w:tc>
          <w:tcPr>
            <w:tcW w:w="1087"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接入交换机</w:t>
            </w:r>
          </w:p>
        </w:tc>
        <w:tc>
          <w:tcPr>
            <w:tcW w:w="6063" w:type="dxa"/>
            <w:shd w:val="clear" w:color="auto" w:fill="auto"/>
            <w:vAlign w:val="center"/>
          </w:tcPr>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 xml:space="preserve">1. 整机交换容量不低于3.3Tbps，包转发率不低于126Mpps，提供不低于24个千兆电接口、不低于4个千兆SFP光端口; </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2. 支持虚拟化技术（非堆叠技术），实现设备的多虚一功能，能够将多台交换机虚拟化为一台逻辑设备，可以实现一致的转发表项，使用与核心交换机同一技术；</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3. 支持 VLAN 交换，支持基于 MAC/协议/IP 子网/策略/端口的 VLAN；支持QinQ；支持动态聚合、手工聚合以及跨设备聚合；</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lastRenderedPageBreak/>
              <w:t>4. 支持 IPv4 静态路由、 RIPv1/v2， IPv6 静态路由、 RIPng，支持 OSPF</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★5. 支持10KV业务端口防雷能力，使其在比较恶劣的工作环境中也能极大的降低雷击对设备的损坏率，提供官网截图加盖原厂授权章；</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★6. 支持 SDN/OpenFlow 1.3 技术,实现网络控制层和数据转发层的分离， 简化网络的管理及维护难度, 实现网络流量的灵活控制,提供官网截图加盖原厂授权章；</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7. 支持支持 ARP Detection 功能、 ARP 报文限速功能；</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8. 提供工信部入网证证书复印件；</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★9. 为保证网络系统稳定性和兼容性，本次采购设备必须与汇聚交换机同一品牌。</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lastRenderedPageBreak/>
              <w:t>台</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34</w:t>
            </w:r>
          </w:p>
        </w:tc>
        <w:tc>
          <w:tcPr>
            <w:tcW w:w="923"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提供制造商售后三年质保承诺函</w:t>
            </w:r>
          </w:p>
        </w:tc>
      </w:tr>
      <w:tr w:rsidR="00843F3C">
        <w:trPr>
          <w:trHeight w:val="23"/>
          <w:jc w:val="center"/>
        </w:trPr>
        <w:tc>
          <w:tcPr>
            <w:tcW w:w="641" w:type="dxa"/>
            <w:shd w:val="clear" w:color="auto" w:fill="auto"/>
            <w:vAlign w:val="center"/>
          </w:tcPr>
          <w:p w:rsidR="00843F3C" w:rsidRDefault="0063171E">
            <w:pPr>
              <w:spacing w:line="240" w:lineRule="atLeast"/>
              <w:jc w:val="left"/>
              <w:rPr>
                <w:rFonts w:ascii="宋体" w:hAnsi="宋体" w:cs="宋体"/>
                <w:szCs w:val="21"/>
              </w:rPr>
            </w:pPr>
            <w:r>
              <w:rPr>
                <w:rFonts w:ascii="宋体" w:hAnsi="宋体" w:cs="宋体" w:hint="eastAsia"/>
                <w:szCs w:val="21"/>
              </w:rPr>
              <w:lastRenderedPageBreak/>
              <w:t>6</w:t>
            </w:r>
          </w:p>
        </w:tc>
        <w:tc>
          <w:tcPr>
            <w:tcW w:w="1087"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接入交换机</w:t>
            </w:r>
          </w:p>
        </w:tc>
        <w:tc>
          <w:tcPr>
            <w:tcW w:w="6063" w:type="dxa"/>
            <w:shd w:val="clear" w:color="auto" w:fill="auto"/>
            <w:vAlign w:val="center"/>
          </w:tcPr>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 xml:space="preserve">1. 整机交换容量不低于3.3Tbps，包转发率不低于160Mpps，提供不低于48个千兆电接口、不低于4个千兆SFP光端口; </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2. 支持虚拟化技术（非堆叠技术），实现设备的多虚一功能，能够将多台交换机虚拟化为一台逻辑设备，可以实现一致的转发表项，使用与核心交换机同一技术；</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3. 支持 VLAN 交换，支持基于 MAC/协议/IP 子网/策略/端口的 VLAN；支持QinQ；支持动态聚合、手工聚合以及跨设备聚合；</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4. 支持 IPv4 静态路由、 RIPv1/v2， IPv6 静态路由、 RIPng，支持 OSPF</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5. 支持10KV业务端口防雷能力，使其在比较恶劣的工作环境中也能极大的降低雷击对设备的损坏率，提供官网截图加盖原厂授权章；</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6. 支持 SDN/OpenFlow 1.3 技术,实现网络控制层和数据转发层的分离， 简化网络的管理及维护难度, 实现网络流量的灵活控制,提供官网截图加盖原厂授权章；</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7. 支持支持 ARP Detection 功能、 ARP 报文限速功能；</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8. 提供工信部入网证证书复印件；</w:t>
            </w:r>
          </w:p>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★9. 为保证网络系统稳定性和兼容性，本次采购设备必须与汇聚交换机同一品牌。</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台</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4</w:t>
            </w:r>
          </w:p>
        </w:tc>
        <w:tc>
          <w:tcPr>
            <w:tcW w:w="923"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提供制造商售后三年质保承诺函</w:t>
            </w:r>
          </w:p>
        </w:tc>
      </w:tr>
      <w:tr w:rsidR="00843F3C">
        <w:trPr>
          <w:trHeight w:val="23"/>
          <w:jc w:val="center"/>
        </w:trPr>
        <w:tc>
          <w:tcPr>
            <w:tcW w:w="641" w:type="dxa"/>
            <w:shd w:val="clear" w:color="auto" w:fill="auto"/>
            <w:vAlign w:val="center"/>
          </w:tcPr>
          <w:p w:rsidR="00843F3C" w:rsidRDefault="0063171E">
            <w:pPr>
              <w:spacing w:line="240" w:lineRule="atLeast"/>
              <w:jc w:val="left"/>
              <w:rPr>
                <w:rFonts w:ascii="宋体" w:hAnsi="宋体" w:cs="宋体"/>
                <w:szCs w:val="21"/>
              </w:rPr>
            </w:pPr>
            <w:r>
              <w:rPr>
                <w:rFonts w:ascii="宋体" w:hAnsi="宋体" w:cs="宋体" w:hint="eastAsia"/>
                <w:szCs w:val="21"/>
              </w:rPr>
              <w:t>7</w:t>
            </w:r>
          </w:p>
        </w:tc>
        <w:tc>
          <w:tcPr>
            <w:tcW w:w="1087"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光模块</w:t>
            </w:r>
          </w:p>
        </w:tc>
        <w:tc>
          <w:tcPr>
            <w:tcW w:w="6063" w:type="dxa"/>
            <w:shd w:val="clear" w:color="auto" w:fill="auto"/>
            <w:vAlign w:val="center"/>
          </w:tcPr>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光模块-SFP-GE-单模模块-(1310nm,10km,LC)</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只</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100</w:t>
            </w:r>
          </w:p>
        </w:tc>
        <w:tc>
          <w:tcPr>
            <w:tcW w:w="923" w:type="dxa"/>
            <w:vAlign w:val="center"/>
          </w:tcPr>
          <w:p w:rsidR="00843F3C" w:rsidRDefault="00843F3C">
            <w:pPr>
              <w:widowControl/>
              <w:spacing w:line="240" w:lineRule="atLeast"/>
              <w:jc w:val="left"/>
              <w:rPr>
                <w:rFonts w:ascii="宋体" w:hAnsi="宋体" w:cs="宋体"/>
                <w:szCs w:val="21"/>
              </w:rPr>
            </w:pPr>
          </w:p>
        </w:tc>
      </w:tr>
      <w:tr w:rsidR="00843F3C">
        <w:trPr>
          <w:trHeight w:val="23"/>
          <w:jc w:val="center"/>
        </w:trPr>
        <w:tc>
          <w:tcPr>
            <w:tcW w:w="641" w:type="dxa"/>
            <w:shd w:val="clear" w:color="auto" w:fill="auto"/>
            <w:vAlign w:val="center"/>
          </w:tcPr>
          <w:p w:rsidR="00843F3C" w:rsidRDefault="0063171E">
            <w:pPr>
              <w:spacing w:line="240" w:lineRule="atLeast"/>
              <w:jc w:val="left"/>
              <w:rPr>
                <w:rFonts w:ascii="宋体" w:hAnsi="宋体" w:cs="宋体"/>
                <w:szCs w:val="21"/>
              </w:rPr>
            </w:pPr>
            <w:r>
              <w:rPr>
                <w:rFonts w:ascii="宋体" w:hAnsi="宋体" w:cs="宋体" w:hint="eastAsia"/>
                <w:szCs w:val="21"/>
              </w:rPr>
              <w:t>8</w:t>
            </w:r>
          </w:p>
        </w:tc>
        <w:tc>
          <w:tcPr>
            <w:tcW w:w="1087"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光纤跳线</w:t>
            </w:r>
          </w:p>
        </w:tc>
        <w:tc>
          <w:tcPr>
            <w:tcW w:w="6063" w:type="dxa"/>
            <w:shd w:val="clear" w:color="auto" w:fill="auto"/>
            <w:vAlign w:val="center"/>
          </w:tcPr>
          <w:p w:rsidR="00843F3C" w:rsidRDefault="00656104">
            <w:pPr>
              <w:spacing w:line="240" w:lineRule="atLeast"/>
              <w:jc w:val="left"/>
              <w:rPr>
                <w:rFonts w:ascii="宋体" w:hAnsi="宋体" w:cs="宋体"/>
                <w:color w:val="000000"/>
                <w:kern w:val="0"/>
                <w:szCs w:val="21"/>
              </w:rPr>
            </w:pPr>
            <w:r>
              <w:rPr>
                <w:rFonts w:ascii="宋体" w:hAnsi="宋体" w:cs="宋体" w:hint="eastAsia"/>
                <w:color w:val="000000"/>
                <w:kern w:val="0"/>
                <w:szCs w:val="21"/>
              </w:rPr>
              <w:t>单模光纤跳线</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个</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200</w:t>
            </w:r>
          </w:p>
        </w:tc>
        <w:tc>
          <w:tcPr>
            <w:tcW w:w="923" w:type="dxa"/>
            <w:vAlign w:val="center"/>
          </w:tcPr>
          <w:p w:rsidR="00843F3C" w:rsidRDefault="00843F3C">
            <w:pPr>
              <w:widowControl/>
              <w:spacing w:line="240" w:lineRule="atLeast"/>
              <w:jc w:val="left"/>
              <w:rPr>
                <w:rFonts w:ascii="宋体" w:hAnsi="宋体" w:cs="宋体"/>
                <w:szCs w:val="21"/>
              </w:rPr>
            </w:pPr>
          </w:p>
        </w:tc>
      </w:tr>
      <w:tr w:rsidR="00843F3C">
        <w:trPr>
          <w:trHeight w:val="23"/>
          <w:jc w:val="center"/>
        </w:trPr>
        <w:tc>
          <w:tcPr>
            <w:tcW w:w="641" w:type="dxa"/>
            <w:shd w:val="clear" w:color="auto" w:fill="auto"/>
            <w:vAlign w:val="center"/>
          </w:tcPr>
          <w:p w:rsidR="00843F3C" w:rsidRDefault="0063171E">
            <w:pPr>
              <w:spacing w:line="240" w:lineRule="atLeast"/>
              <w:jc w:val="left"/>
              <w:rPr>
                <w:rFonts w:ascii="宋体" w:hAnsi="宋体" w:cs="宋体"/>
                <w:szCs w:val="21"/>
              </w:rPr>
            </w:pPr>
            <w:r>
              <w:rPr>
                <w:rFonts w:ascii="宋体" w:hAnsi="宋体" w:cs="宋体" w:hint="eastAsia"/>
                <w:szCs w:val="21"/>
              </w:rPr>
              <w:t>9</w:t>
            </w:r>
          </w:p>
        </w:tc>
        <w:tc>
          <w:tcPr>
            <w:tcW w:w="1087" w:type="dxa"/>
            <w:shd w:val="clear" w:color="auto" w:fill="auto"/>
            <w:vAlign w:val="center"/>
          </w:tcPr>
          <w:p w:rsidR="00843F3C" w:rsidRDefault="00656104">
            <w:pPr>
              <w:spacing w:line="240" w:lineRule="atLeast"/>
              <w:jc w:val="left"/>
              <w:rPr>
                <w:rFonts w:ascii="宋体" w:hAnsi="宋体" w:cs="宋体"/>
                <w:szCs w:val="21"/>
              </w:rPr>
            </w:pPr>
            <w:r>
              <w:rPr>
                <w:rFonts w:ascii="宋体" w:hAnsi="宋体" w:cs="宋体" w:hint="eastAsia"/>
                <w:szCs w:val="21"/>
              </w:rPr>
              <w:t>网络技术调试</w:t>
            </w:r>
          </w:p>
        </w:tc>
        <w:tc>
          <w:tcPr>
            <w:tcW w:w="6063" w:type="dxa"/>
            <w:shd w:val="clear" w:color="auto" w:fill="auto"/>
            <w:vAlign w:val="center"/>
          </w:tcPr>
          <w:p w:rsidR="00843F3C" w:rsidRDefault="00656104">
            <w:pPr>
              <w:tabs>
                <w:tab w:val="left" w:pos="0"/>
              </w:tabs>
              <w:spacing w:line="240" w:lineRule="atLeast"/>
              <w:jc w:val="left"/>
              <w:rPr>
                <w:rFonts w:ascii="宋体" w:hAnsi="宋体" w:cs="宋体"/>
                <w:szCs w:val="21"/>
              </w:rPr>
            </w:pPr>
            <w:r>
              <w:rPr>
                <w:rFonts w:ascii="宋体" w:hAnsi="宋体" w:cs="宋体" w:hint="eastAsia"/>
                <w:color w:val="000000"/>
                <w:kern w:val="0"/>
                <w:szCs w:val="21"/>
              </w:rPr>
              <w:t>★</w:t>
            </w:r>
            <w:r>
              <w:rPr>
                <w:rFonts w:ascii="宋体" w:hAnsi="宋体" w:cs="宋体" w:hint="eastAsia"/>
                <w:szCs w:val="21"/>
              </w:rPr>
              <w:t>1、在焦化机房、监控部机房、炼铁机房、烧结机房、炼钢机房等布署汇聚交换机</w:t>
            </w:r>
            <w:r w:rsidR="00B0073E">
              <w:rPr>
                <w:rFonts w:ascii="宋体" w:hAnsi="宋体" w:cs="宋体" w:hint="eastAsia"/>
                <w:szCs w:val="21"/>
              </w:rPr>
              <w:t>,</w:t>
            </w:r>
            <w:r>
              <w:rPr>
                <w:rFonts w:ascii="宋体" w:hAnsi="宋体" w:cs="宋体" w:hint="eastAsia"/>
                <w:szCs w:val="21"/>
              </w:rPr>
              <w:t>采用支持万兆的三层全千兆光口交换机，向上采用万兆光纤链路上行至两台核心交换机H3C7506E，向下采用千兆链路与接入交换机相连。</w:t>
            </w:r>
            <w:r>
              <w:rPr>
                <w:rFonts w:ascii="宋体" w:hAnsi="宋体" w:cs="宋体" w:hint="eastAsia"/>
                <w:color w:val="000000"/>
                <w:kern w:val="0"/>
                <w:szCs w:val="21"/>
              </w:rPr>
              <w:t>整网核心层，汇聚层和高性能接入层均需要采用智能弹性架构技术，在保证原有网络拓扑不变的情况下，通过将多台设备虚拟为一台统一的逻辑设备，实现网络拓扑、业务、管理的简化，1：N的可靠性成倍提升，提高网络运行性能。</w:t>
            </w:r>
          </w:p>
          <w:p w:rsidR="00843F3C" w:rsidRDefault="00656104">
            <w:pPr>
              <w:tabs>
                <w:tab w:val="left" w:pos="0"/>
              </w:tabs>
              <w:spacing w:line="240" w:lineRule="atLeast"/>
              <w:jc w:val="left"/>
              <w:rPr>
                <w:rFonts w:ascii="宋体" w:hAnsi="宋体" w:cs="宋体"/>
                <w:szCs w:val="21"/>
              </w:rPr>
            </w:pPr>
            <w:r>
              <w:rPr>
                <w:rFonts w:ascii="宋体" w:hAnsi="宋体" w:cs="宋体" w:hint="eastAsia"/>
                <w:szCs w:val="21"/>
              </w:rPr>
              <w:t>2、接入层交换机采用全千兆的三层接入交换机，部署在每个办公楼宇弱电间，完成每楼层的信息点接入，向上采用万兆光纤链</w:t>
            </w:r>
            <w:r>
              <w:rPr>
                <w:rFonts w:ascii="宋体" w:hAnsi="宋体" w:cs="宋体" w:hint="eastAsia"/>
                <w:szCs w:val="21"/>
              </w:rPr>
              <w:lastRenderedPageBreak/>
              <w:t>路上行至各分支机房汇聚交换机。</w:t>
            </w:r>
          </w:p>
          <w:p w:rsidR="00843F3C" w:rsidRDefault="00656104">
            <w:pPr>
              <w:tabs>
                <w:tab w:val="left" w:pos="0"/>
              </w:tabs>
              <w:spacing w:line="240" w:lineRule="atLeast"/>
              <w:jc w:val="left"/>
              <w:rPr>
                <w:rFonts w:ascii="宋体" w:hAnsi="宋体" w:cs="宋体"/>
                <w:szCs w:val="21"/>
              </w:rPr>
            </w:pPr>
            <w:r>
              <w:rPr>
                <w:rFonts w:ascii="宋体" w:hAnsi="宋体" w:cs="宋体" w:hint="eastAsia"/>
                <w:szCs w:val="21"/>
              </w:rPr>
              <w:t>3、为满足物联网及各子系统的运行，需对原101机房内部网络核心进行改造扩容，为充分的保证企业前期硬件投资的有效性 , 对企业网络的核心层设备做相应扩容改造，采用万兆光纤链路与焦化机房、监控部机房、炼铁机房、烧结机房、炼钢机房互联，保证全网无缝对接。</w:t>
            </w:r>
          </w:p>
          <w:p w:rsidR="00843F3C" w:rsidRDefault="00656104">
            <w:pPr>
              <w:pStyle w:val="a5"/>
              <w:spacing w:afterLines="0" w:line="240" w:lineRule="atLeast"/>
              <w:ind w:firstLineChars="0" w:firstLine="0"/>
              <w:jc w:val="left"/>
              <w:rPr>
                <w:rFonts w:ascii="宋体" w:hAnsi="宋体" w:cs="宋体"/>
                <w:szCs w:val="21"/>
              </w:rPr>
            </w:pPr>
            <w:r>
              <w:rPr>
                <w:rFonts w:ascii="宋体" w:hAnsi="宋体" w:cs="宋体" w:hint="eastAsia"/>
                <w:szCs w:val="21"/>
              </w:rPr>
              <w:t>4、有效管理全网网络资源监控系统架构基于一体化运维管理平台构建。首先管理基础平台的被管对象，它包含芜湖新兴铸管有限责任公司及下属单位运行管理的管理对象，包括网络设备、服务器、计算存储资源、系统应用软件、中间件、虚拟化资源、应用等。</w:t>
            </w:r>
          </w:p>
          <w:p w:rsidR="00843F3C" w:rsidRDefault="00656104">
            <w:pPr>
              <w:pStyle w:val="a5"/>
              <w:spacing w:afterLines="0" w:line="240" w:lineRule="atLeast"/>
              <w:ind w:firstLineChars="0" w:firstLine="0"/>
              <w:jc w:val="left"/>
              <w:rPr>
                <w:rFonts w:ascii="宋体" w:hAnsi="宋体" w:cs="宋体"/>
                <w:szCs w:val="21"/>
              </w:rPr>
            </w:pPr>
            <w:r>
              <w:rPr>
                <w:rFonts w:ascii="宋体" w:hAnsi="宋体" w:cs="宋体" w:hint="eastAsia"/>
                <w:szCs w:val="21"/>
              </w:rPr>
              <w:t>5、运行监控管理模块实现对IT基础架构统一监控，通过代理或免代理的方式实现数据采集和数据处理，实现对被管理运行对象的监控，掌握运行资源的配置状况、监控对象的运行状态和性能参数。其采集数据支持第三方监控集成，如动环监控。同时可将告警、性能、数据处理分析信息提供给其他系统，实现如告警自动派发工单、</w:t>
            </w:r>
            <w:r w:rsidR="00EC7A20">
              <w:rPr>
                <w:rFonts w:ascii="宋体" w:hAnsi="宋体" w:cs="宋体" w:hint="eastAsia"/>
                <w:szCs w:val="21"/>
              </w:rPr>
              <w:t>微信、</w:t>
            </w:r>
            <w:r>
              <w:rPr>
                <w:rFonts w:ascii="宋体" w:hAnsi="宋体" w:cs="宋体" w:hint="eastAsia"/>
                <w:szCs w:val="21"/>
              </w:rPr>
              <w:t>短信通知等功能。</w:t>
            </w:r>
          </w:p>
          <w:p w:rsidR="00843F3C" w:rsidRDefault="00656104">
            <w:pPr>
              <w:pStyle w:val="a5"/>
              <w:spacing w:afterLines="0" w:line="240" w:lineRule="atLeast"/>
              <w:ind w:firstLineChars="0" w:firstLine="0"/>
              <w:jc w:val="left"/>
              <w:rPr>
                <w:rFonts w:ascii="宋体" w:hAnsi="宋体" w:cs="宋体"/>
                <w:szCs w:val="21"/>
              </w:rPr>
            </w:pPr>
            <w:r>
              <w:rPr>
                <w:rFonts w:ascii="宋体" w:hAnsi="宋体" w:cs="宋体" w:hint="eastAsia"/>
                <w:szCs w:val="21"/>
              </w:rPr>
              <w:t>5、自动化管理平台实现网络资源管理平台的运维自动化功能，包括网络配置、设备准入控制、存储管理等功能，自动化模块还提供自动巡检、应用部署、补丁升级、合规检查等自动化场景，可支持网络资源管理平台未来的功能拓展。</w:t>
            </w:r>
          </w:p>
          <w:p w:rsidR="00843F3C" w:rsidRDefault="00656104" w:rsidP="00B0073E">
            <w:pPr>
              <w:pStyle w:val="a5"/>
              <w:spacing w:afterLines="0" w:line="240" w:lineRule="atLeast"/>
              <w:ind w:firstLineChars="0" w:firstLine="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szCs w:val="21"/>
              </w:rPr>
              <w:t>6、业务展示层，提供了多种展示视图和方式，为不同的用户提供不同的管理视图，包括领导视图、运维门户、自服务门户、移动管理端、大屏展示视图等。</w:t>
            </w:r>
          </w:p>
        </w:tc>
        <w:tc>
          <w:tcPr>
            <w:tcW w:w="787"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lastRenderedPageBreak/>
              <w:t>项目</w:t>
            </w:r>
          </w:p>
        </w:tc>
        <w:tc>
          <w:tcPr>
            <w:tcW w:w="704" w:type="dxa"/>
            <w:vAlign w:val="center"/>
          </w:tcPr>
          <w:p w:rsidR="00843F3C" w:rsidRDefault="00656104">
            <w:pPr>
              <w:widowControl/>
              <w:spacing w:line="240" w:lineRule="atLeast"/>
              <w:jc w:val="left"/>
              <w:rPr>
                <w:rFonts w:ascii="宋体" w:hAnsi="宋体" w:cs="宋体"/>
                <w:szCs w:val="21"/>
              </w:rPr>
            </w:pPr>
            <w:r>
              <w:rPr>
                <w:rFonts w:ascii="宋体" w:hAnsi="宋体" w:cs="宋体" w:hint="eastAsia"/>
                <w:szCs w:val="21"/>
              </w:rPr>
              <w:t>1</w:t>
            </w:r>
          </w:p>
        </w:tc>
        <w:tc>
          <w:tcPr>
            <w:tcW w:w="923" w:type="dxa"/>
            <w:vAlign w:val="center"/>
          </w:tcPr>
          <w:p w:rsidR="00843F3C" w:rsidRDefault="00843F3C">
            <w:pPr>
              <w:widowControl/>
              <w:spacing w:line="240" w:lineRule="atLeast"/>
              <w:jc w:val="left"/>
              <w:rPr>
                <w:rFonts w:ascii="宋体" w:hAnsi="宋体" w:cs="宋体"/>
                <w:szCs w:val="21"/>
              </w:rPr>
            </w:pPr>
          </w:p>
        </w:tc>
      </w:tr>
    </w:tbl>
    <w:p w:rsidR="00843F3C" w:rsidRDefault="00656104">
      <w:pPr>
        <w:pStyle w:val="ad"/>
        <w:spacing w:line="400" w:lineRule="exact"/>
        <w:ind w:firstLineChars="0" w:firstLine="0"/>
        <w:jc w:val="left"/>
        <w:rPr>
          <w:rFonts w:ascii="宋体" w:hAnsi="宋体" w:cs="宋体"/>
          <w:szCs w:val="21"/>
        </w:rPr>
      </w:pPr>
      <w:r>
        <w:rPr>
          <w:rFonts w:ascii="宋体" w:hAnsi="宋体" w:cs="宋体" w:hint="eastAsia"/>
          <w:szCs w:val="21"/>
        </w:rPr>
        <w:lastRenderedPageBreak/>
        <w:t>注：带</w:t>
      </w:r>
      <w:r w:rsidR="00B0073E">
        <w:rPr>
          <w:rFonts w:ascii="宋体" w:hAnsi="宋体" w:cs="宋体" w:hint="eastAsia"/>
          <w:color w:val="000000"/>
          <w:kern w:val="0"/>
          <w:szCs w:val="21"/>
        </w:rPr>
        <w:t>★</w:t>
      </w:r>
      <w:r>
        <w:rPr>
          <w:rFonts w:ascii="宋体" w:hAnsi="宋体" w:cs="宋体" w:hint="eastAsia"/>
          <w:szCs w:val="21"/>
        </w:rPr>
        <w:t>技术参数为保证我厂网络安全及运行的关键指标，产品性能上必须满足，并且需要提供相关技术资料支持(技术资料指网站/彩页/配置脚本展示/软件版本发布时间等)，否则视为不响应</w:t>
      </w:r>
      <w:r w:rsidR="001264F4">
        <w:rPr>
          <w:rFonts w:ascii="宋体" w:hAnsi="宋体" w:cs="宋体" w:hint="eastAsia"/>
          <w:szCs w:val="21"/>
        </w:rPr>
        <w:t>招标</w:t>
      </w:r>
      <w:r>
        <w:rPr>
          <w:rFonts w:ascii="宋体" w:hAnsi="宋体" w:cs="宋体" w:hint="eastAsia"/>
          <w:szCs w:val="21"/>
        </w:rPr>
        <w:t>要求</w:t>
      </w:r>
      <w:r w:rsidR="00F55AE2">
        <w:rPr>
          <w:rFonts w:ascii="宋体" w:hAnsi="宋体" w:cs="宋体" w:hint="eastAsia"/>
          <w:szCs w:val="21"/>
        </w:rPr>
        <w:t>。</w:t>
      </w:r>
    </w:p>
    <w:p w:rsidR="00F75630" w:rsidRDefault="00F75630">
      <w:pPr>
        <w:pStyle w:val="ad"/>
        <w:spacing w:line="400" w:lineRule="exact"/>
        <w:ind w:firstLineChars="0" w:firstLine="0"/>
        <w:jc w:val="left"/>
        <w:rPr>
          <w:rFonts w:ascii="宋体" w:hAnsi="宋体" w:cs="宋体"/>
          <w:b/>
          <w:szCs w:val="21"/>
        </w:rPr>
      </w:pPr>
    </w:p>
    <w:sectPr w:rsidR="00F75630" w:rsidSect="0063171E">
      <w:headerReference w:type="default" r:id="rId9"/>
      <w:footerReference w:type="default" r:id="rId10"/>
      <w:pgSz w:w="11906" w:h="16838"/>
      <w:pgMar w:top="1134" w:right="1247" w:bottom="1134" w:left="136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5D2" w:rsidRDefault="00C375D2" w:rsidP="00843F3C">
      <w:r>
        <w:separator/>
      </w:r>
    </w:p>
  </w:endnote>
  <w:endnote w:type="continuationSeparator" w:id="0">
    <w:p w:rsidR="00C375D2" w:rsidRDefault="00C375D2" w:rsidP="0084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248339"/>
    </w:sdtPr>
    <w:sdtEndPr/>
    <w:sdtContent>
      <w:p w:rsidR="00843F3C" w:rsidRDefault="00843F3C">
        <w:pPr>
          <w:pStyle w:val="a6"/>
        </w:pPr>
      </w:p>
      <w:p w:rsidR="00843F3C" w:rsidRDefault="0051070D">
        <w:pPr>
          <w:pStyle w:val="a6"/>
          <w:jc w:val="center"/>
        </w:pPr>
        <w:r>
          <w:fldChar w:fldCharType="begin"/>
        </w:r>
        <w:r w:rsidR="00656104">
          <w:instrText>PAGE   \* MERGEFORMAT</w:instrText>
        </w:r>
        <w:r>
          <w:fldChar w:fldCharType="separate"/>
        </w:r>
        <w:r w:rsidR="00D753D3" w:rsidRPr="00D753D3">
          <w:rPr>
            <w:noProof/>
            <w:lang w:val="zh-CN"/>
          </w:rPr>
          <w:t>1</w:t>
        </w:r>
        <w:r>
          <w:fldChar w:fldCharType="end"/>
        </w:r>
      </w:p>
    </w:sdtContent>
  </w:sdt>
  <w:p w:rsidR="00843F3C" w:rsidRDefault="00843F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5D2" w:rsidRDefault="00C375D2" w:rsidP="00843F3C">
      <w:r>
        <w:separator/>
      </w:r>
    </w:p>
  </w:footnote>
  <w:footnote w:type="continuationSeparator" w:id="0">
    <w:p w:rsidR="00C375D2" w:rsidRDefault="00C375D2" w:rsidP="00843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3C" w:rsidRDefault="00843F3C">
    <w:pPr>
      <w:pStyle w:val="a7"/>
      <w:jc w:val="right"/>
      <w:rPr>
        <w:rFonts w:ascii="仿宋" w:eastAsia="仿宋" w:hAnsi="仿宋"/>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B3C91"/>
    <w:multiLevelType w:val="multilevel"/>
    <w:tmpl w:val="3EBB3C91"/>
    <w:lvl w:ilvl="0">
      <w:start w:val="1"/>
      <w:numFmt w:val="chineseCountingThousand"/>
      <w:pStyle w:val="1"/>
      <w:suff w:val="space"/>
      <w:lvlText w:val="%1. "/>
      <w:lvlJc w:val="left"/>
      <w:pPr>
        <w:ind w:left="907" w:hanging="907"/>
      </w:pPr>
      <w:rPr>
        <w:rFonts w:hint="eastAsia"/>
      </w:rPr>
    </w:lvl>
    <w:lvl w:ilvl="1">
      <w:start w:val="1"/>
      <w:numFmt w:val="decimal"/>
      <w:pStyle w:val="2"/>
      <w:isLgl/>
      <w:suff w:val="space"/>
      <w:lvlText w:val="%1.%2 "/>
      <w:lvlJc w:val="left"/>
      <w:pPr>
        <w:ind w:left="794" w:hanging="794"/>
      </w:pPr>
      <w:rPr>
        <w:rFonts w:hint="eastAsia"/>
      </w:rPr>
    </w:lvl>
    <w:lvl w:ilvl="2">
      <w:start w:val="1"/>
      <w:numFmt w:val="decimal"/>
      <w:pStyle w:val="3"/>
      <w:isLgl/>
      <w:suff w:val="space"/>
      <w:lvlText w:val="%1.%2.%3 "/>
      <w:lvlJc w:val="left"/>
      <w:pPr>
        <w:ind w:left="907" w:hanging="907"/>
      </w:pPr>
      <w:rPr>
        <w:rFonts w:hint="eastAsia"/>
      </w:rPr>
    </w:lvl>
    <w:lvl w:ilvl="3">
      <w:start w:val="1"/>
      <w:numFmt w:val="decimal"/>
      <w:pStyle w:val="4"/>
      <w:isLgl/>
      <w:suff w:val="space"/>
      <w:lvlText w:val="%1.%2.%3.%4 "/>
      <w:lvlJc w:val="left"/>
      <w:pPr>
        <w:ind w:left="1021" w:hanging="1021"/>
      </w:pPr>
      <w:rPr>
        <w:rFonts w:hint="eastAsia"/>
      </w:rPr>
    </w:lvl>
    <w:lvl w:ilvl="4">
      <w:start w:val="1"/>
      <w:numFmt w:val="decimal"/>
      <w:pStyle w:val="5"/>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4AA97CCC"/>
    <w:multiLevelType w:val="singleLevel"/>
    <w:tmpl w:val="4AA97CC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6441"/>
    <w:rsid w:val="000E12D2"/>
    <w:rsid w:val="001264F4"/>
    <w:rsid w:val="00183716"/>
    <w:rsid w:val="001B73FA"/>
    <w:rsid w:val="00255F02"/>
    <w:rsid w:val="00286B39"/>
    <w:rsid w:val="002B18F9"/>
    <w:rsid w:val="002B282A"/>
    <w:rsid w:val="003F0D0D"/>
    <w:rsid w:val="00433155"/>
    <w:rsid w:val="00461321"/>
    <w:rsid w:val="004D255D"/>
    <w:rsid w:val="005103AA"/>
    <w:rsid w:val="0051070D"/>
    <w:rsid w:val="0051489C"/>
    <w:rsid w:val="00535672"/>
    <w:rsid w:val="00586486"/>
    <w:rsid w:val="005E5089"/>
    <w:rsid w:val="00615B00"/>
    <w:rsid w:val="0063171E"/>
    <w:rsid w:val="00645678"/>
    <w:rsid w:val="00656104"/>
    <w:rsid w:val="006A396F"/>
    <w:rsid w:val="00726441"/>
    <w:rsid w:val="007658F2"/>
    <w:rsid w:val="007762E2"/>
    <w:rsid w:val="007E05C3"/>
    <w:rsid w:val="007E10B0"/>
    <w:rsid w:val="00813F33"/>
    <w:rsid w:val="00843F3C"/>
    <w:rsid w:val="00850604"/>
    <w:rsid w:val="0096452D"/>
    <w:rsid w:val="00AE0AE7"/>
    <w:rsid w:val="00B0073E"/>
    <w:rsid w:val="00B02D51"/>
    <w:rsid w:val="00BB29E1"/>
    <w:rsid w:val="00BD7BB8"/>
    <w:rsid w:val="00BD7C8D"/>
    <w:rsid w:val="00C308EC"/>
    <w:rsid w:val="00C375D2"/>
    <w:rsid w:val="00CC1E94"/>
    <w:rsid w:val="00D3173D"/>
    <w:rsid w:val="00D753D3"/>
    <w:rsid w:val="00E45D0F"/>
    <w:rsid w:val="00EC7A20"/>
    <w:rsid w:val="00F154ED"/>
    <w:rsid w:val="00F55479"/>
    <w:rsid w:val="00F55AE2"/>
    <w:rsid w:val="00F75630"/>
    <w:rsid w:val="00FD32C7"/>
    <w:rsid w:val="0DE55D00"/>
    <w:rsid w:val="1E1648B0"/>
    <w:rsid w:val="20603F89"/>
    <w:rsid w:val="2FC51F1F"/>
    <w:rsid w:val="40A034B6"/>
    <w:rsid w:val="4A2C0106"/>
    <w:rsid w:val="5A86050D"/>
    <w:rsid w:val="5F3A134A"/>
    <w:rsid w:val="63DD2A91"/>
    <w:rsid w:val="6D8D6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EBF77D-FE0F-4FB5-8B54-FEC586B3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3F3C"/>
    <w:pPr>
      <w:widowControl w:val="0"/>
      <w:jc w:val="both"/>
    </w:pPr>
    <w:rPr>
      <w:kern w:val="2"/>
      <w:sz w:val="21"/>
      <w:szCs w:val="24"/>
    </w:rPr>
  </w:style>
  <w:style w:type="paragraph" w:styleId="10">
    <w:name w:val="heading 1"/>
    <w:basedOn w:val="a1"/>
    <w:next w:val="a1"/>
    <w:link w:val="1Char"/>
    <w:qFormat/>
    <w:rsid w:val="00843F3C"/>
    <w:pPr>
      <w:keepNext/>
      <w:keepLines/>
      <w:spacing w:before="340" w:after="330" w:line="578" w:lineRule="auto"/>
      <w:outlineLvl w:val="0"/>
    </w:pPr>
    <w:rPr>
      <w:b/>
      <w:bCs/>
      <w:kern w:val="44"/>
      <w:sz w:val="44"/>
      <w:szCs w:val="44"/>
    </w:rPr>
  </w:style>
  <w:style w:type="paragraph" w:styleId="20">
    <w:name w:val="heading 2"/>
    <w:basedOn w:val="a1"/>
    <w:next w:val="a1"/>
    <w:link w:val="2Char"/>
    <w:uiPriority w:val="9"/>
    <w:semiHidden/>
    <w:unhideWhenUsed/>
    <w:qFormat/>
    <w:rsid w:val="00843F3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1"/>
    <w:next w:val="a1"/>
    <w:link w:val="3Char"/>
    <w:uiPriority w:val="9"/>
    <w:semiHidden/>
    <w:unhideWhenUsed/>
    <w:qFormat/>
    <w:rsid w:val="00843F3C"/>
    <w:pPr>
      <w:keepNext/>
      <w:keepLines/>
      <w:spacing w:before="260" w:after="260" w:line="416" w:lineRule="auto"/>
      <w:outlineLvl w:val="2"/>
    </w:pPr>
    <w:rPr>
      <w:b/>
      <w:bCs/>
      <w:sz w:val="32"/>
      <w:szCs w:val="32"/>
    </w:rPr>
  </w:style>
  <w:style w:type="paragraph" w:styleId="40">
    <w:name w:val="heading 4"/>
    <w:basedOn w:val="a1"/>
    <w:next w:val="a1"/>
    <w:link w:val="4Char"/>
    <w:uiPriority w:val="9"/>
    <w:semiHidden/>
    <w:unhideWhenUsed/>
    <w:qFormat/>
    <w:rsid w:val="00843F3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qFormat/>
    <w:rsid w:val="00843F3C"/>
    <w:pPr>
      <w:spacing w:afterLines="50" w:line="360" w:lineRule="auto"/>
      <w:ind w:firstLineChars="200" w:firstLine="420"/>
    </w:pPr>
  </w:style>
  <w:style w:type="paragraph" w:styleId="31">
    <w:name w:val="toc 3"/>
    <w:basedOn w:val="a1"/>
    <w:next w:val="a1"/>
    <w:uiPriority w:val="39"/>
    <w:unhideWhenUsed/>
    <w:qFormat/>
    <w:rsid w:val="00843F3C"/>
    <w:pPr>
      <w:ind w:leftChars="400" w:left="840"/>
    </w:pPr>
  </w:style>
  <w:style w:type="paragraph" w:styleId="a6">
    <w:name w:val="footer"/>
    <w:basedOn w:val="a1"/>
    <w:link w:val="Char"/>
    <w:uiPriority w:val="99"/>
    <w:unhideWhenUsed/>
    <w:qFormat/>
    <w:rsid w:val="00843F3C"/>
    <w:pPr>
      <w:tabs>
        <w:tab w:val="center" w:pos="4153"/>
        <w:tab w:val="right" w:pos="8306"/>
      </w:tabs>
      <w:snapToGrid w:val="0"/>
      <w:jc w:val="left"/>
    </w:pPr>
    <w:rPr>
      <w:sz w:val="18"/>
      <w:szCs w:val="18"/>
    </w:rPr>
  </w:style>
  <w:style w:type="paragraph" w:styleId="a7">
    <w:name w:val="header"/>
    <w:basedOn w:val="a1"/>
    <w:link w:val="Char0"/>
    <w:uiPriority w:val="99"/>
    <w:unhideWhenUsed/>
    <w:rsid w:val="00843F3C"/>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unhideWhenUsed/>
    <w:qFormat/>
    <w:rsid w:val="00843F3C"/>
  </w:style>
  <w:style w:type="paragraph" w:styleId="32">
    <w:name w:val="Body Text Indent 3"/>
    <w:basedOn w:val="a1"/>
    <w:link w:val="3Char0"/>
    <w:qFormat/>
    <w:rsid w:val="00843F3C"/>
    <w:pPr>
      <w:widowControl/>
      <w:spacing w:after="120" w:line="240" w:lineRule="atLeast"/>
      <w:ind w:leftChars="200" w:left="420"/>
    </w:pPr>
    <w:rPr>
      <w:rFonts w:ascii="Arial" w:hAnsi="Arial"/>
      <w:kern w:val="0"/>
      <w:sz w:val="16"/>
      <w:szCs w:val="16"/>
    </w:rPr>
  </w:style>
  <w:style w:type="paragraph" w:styleId="21">
    <w:name w:val="toc 2"/>
    <w:basedOn w:val="a1"/>
    <w:next w:val="a1"/>
    <w:uiPriority w:val="39"/>
    <w:unhideWhenUsed/>
    <w:qFormat/>
    <w:rsid w:val="00843F3C"/>
    <w:pPr>
      <w:ind w:leftChars="200" w:left="420"/>
    </w:pPr>
  </w:style>
  <w:style w:type="character" w:styleId="a8">
    <w:name w:val="Hyperlink"/>
    <w:basedOn w:val="a2"/>
    <w:uiPriority w:val="99"/>
    <w:unhideWhenUsed/>
    <w:qFormat/>
    <w:rsid w:val="00843F3C"/>
    <w:rPr>
      <w:color w:val="0563C1" w:themeColor="hyperlink"/>
      <w:u w:val="single"/>
    </w:rPr>
  </w:style>
  <w:style w:type="character" w:customStyle="1" w:styleId="Char0">
    <w:name w:val="页眉 Char"/>
    <w:basedOn w:val="a2"/>
    <w:link w:val="a7"/>
    <w:uiPriority w:val="99"/>
    <w:qFormat/>
    <w:rsid w:val="00843F3C"/>
    <w:rPr>
      <w:sz w:val="18"/>
      <w:szCs w:val="18"/>
    </w:rPr>
  </w:style>
  <w:style w:type="character" w:customStyle="1" w:styleId="Char">
    <w:name w:val="页脚 Char"/>
    <w:basedOn w:val="a2"/>
    <w:link w:val="a6"/>
    <w:uiPriority w:val="99"/>
    <w:qFormat/>
    <w:rsid w:val="00843F3C"/>
    <w:rPr>
      <w:sz w:val="18"/>
      <w:szCs w:val="18"/>
    </w:rPr>
  </w:style>
  <w:style w:type="paragraph" w:customStyle="1" w:styleId="a9">
    <w:name w:val="正文首行缩进（绿盟科技）"/>
    <w:basedOn w:val="a1"/>
    <w:link w:val="Char1"/>
    <w:qFormat/>
    <w:rsid w:val="00843F3C"/>
    <w:pPr>
      <w:widowControl/>
      <w:spacing w:after="50" w:line="300" w:lineRule="auto"/>
      <w:ind w:firstLineChars="200" w:firstLine="200"/>
      <w:jc w:val="left"/>
    </w:pPr>
    <w:rPr>
      <w:rFonts w:ascii="Arial" w:hAnsi="Arial"/>
      <w:kern w:val="0"/>
      <w:szCs w:val="21"/>
    </w:rPr>
  </w:style>
  <w:style w:type="character" w:customStyle="1" w:styleId="aa">
    <w:name w:val="文本字符强调（绿盟科技）"/>
    <w:qFormat/>
    <w:rsid w:val="00843F3C"/>
    <w:rPr>
      <w:rFonts w:ascii="Arial" w:eastAsia="宋体" w:hAnsi="Arial"/>
      <w:b/>
      <w:color w:val="auto"/>
      <w:sz w:val="21"/>
      <w:u w:val="single"/>
    </w:rPr>
  </w:style>
  <w:style w:type="paragraph" w:customStyle="1" w:styleId="ab">
    <w:name w:val="正文（绿盟科技）"/>
    <w:qFormat/>
    <w:rsid w:val="00843F3C"/>
    <w:pPr>
      <w:spacing w:line="300" w:lineRule="auto"/>
    </w:pPr>
    <w:rPr>
      <w:rFonts w:ascii="Arial" w:hAnsi="Arial"/>
      <w:sz w:val="21"/>
      <w:szCs w:val="21"/>
    </w:rPr>
  </w:style>
  <w:style w:type="paragraph" w:customStyle="1" w:styleId="1">
    <w:name w:val="标题 1（绿盟科技）"/>
    <w:basedOn w:val="10"/>
    <w:next w:val="ab"/>
    <w:qFormat/>
    <w:rsid w:val="00843F3C"/>
    <w:pPr>
      <w:numPr>
        <w:numId w:val="1"/>
      </w:numPr>
      <w:pBdr>
        <w:bottom w:val="single" w:sz="48" w:space="1" w:color="auto"/>
      </w:pBdr>
      <w:tabs>
        <w:tab w:val="left" w:pos="360"/>
      </w:tabs>
      <w:spacing w:before="600" w:line="576" w:lineRule="auto"/>
      <w:ind w:left="0" w:firstLine="0"/>
      <w:jc w:val="left"/>
    </w:pPr>
    <w:rPr>
      <w:rFonts w:ascii="Arial" w:eastAsia="黑体" w:hAnsi="Arial"/>
    </w:rPr>
  </w:style>
  <w:style w:type="paragraph" w:customStyle="1" w:styleId="2">
    <w:name w:val="标题 2（绿盟科技）"/>
    <w:basedOn w:val="20"/>
    <w:next w:val="ab"/>
    <w:qFormat/>
    <w:rsid w:val="00843F3C"/>
    <w:pPr>
      <w:numPr>
        <w:ilvl w:val="1"/>
        <w:numId w:val="1"/>
      </w:numPr>
      <w:tabs>
        <w:tab w:val="left" w:pos="360"/>
      </w:tabs>
      <w:spacing w:line="415" w:lineRule="auto"/>
      <w:ind w:left="0" w:firstLine="0"/>
      <w:jc w:val="left"/>
    </w:pPr>
    <w:rPr>
      <w:rFonts w:ascii="Arial" w:eastAsia="黑体" w:hAnsi="Arial" w:cs="Times New Roman"/>
      <w:bCs w:val="0"/>
    </w:rPr>
  </w:style>
  <w:style w:type="paragraph" w:customStyle="1" w:styleId="3">
    <w:name w:val="标题 3（绿盟科技）"/>
    <w:basedOn w:val="30"/>
    <w:next w:val="ab"/>
    <w:qFormat/>
    <w:rsid w:val="00843F3C"/>
    <w:pPr>
      <w:numPr>
        <w:ilvl w:val="2"/>
        <w:numId w:val="1"/>
      </w:numPr>
      <w:tabs>
        <w:tab w:val="left" w:pos="360"/>
        <w:tab w:val="left" w:pos="960"/>
      </w:tabs>
      <w:spacing w:line="415" w:lineRule="auto"/>
      <w:ind w:left="0" w:firstLine="0"/>
      <w:jc w:val="left"/>
    </w:pPr>
    <w:rPr>
      <w:rFonts w:ascii="Arial" w:eastAsia="黑体" w:hAnsi="Arial"/>
      <w:bCs w:val="0"/>
      <w:kern w:val="0"/>
      <w:sz w:val="30"/>
      <w:szCs w:val="30"/>
    </w:rPr>
  </w:style>
  <w:style w:type="paragraph" w:customStyle="1" w:styleId="4">
    <w:name w:val="标题 4（绿盟科技）"/>
    <w:basedOn w:val="40"/>
    <w:next w:val="ab"/>
    <w:qFormat/>
    <w:rsid w:val="00843F3C"/>
    <w:pPr>
      <w:widowControl/>
      <w:numPr>
        <w:ilvl w:val="3"/>
        <w:numId w:val="1"/>
      </w:numPr>
      <w:tabs>
        <w:tab w:val="left" w:pos="360"/>
      </w:tabs>
      <w:spacing w:after="156"/>
      <w:ind w:left="0" w:firstLine="0"/>
      <w:jc w:val="left"/>
    </w:pPr>
    <w:rPr>
      <w:rFonts w:ascii="Arial" w:eastAsia="黑体" w:hAnsi="Arial" w:cs="Times New Roman"/>
      <w:bCs w:val="0"/>
      <w:kern w:val="0"/>
    </w:rPr>
  </w:style>
  <w:style w:type="paragraph" w:customStyle="1" w:styleId="5">
    <w:name w:val="标题 5（有编号）（绿盟科技）"/>
    <w:basedOn w:val="a1"/>
    <w:next w:val="ab"/>
    <w:qFormat/>
    <w:rsid w:val="00843F3C"/>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6">
    <w:name w:val="标题 6（有编号）（绿盟科技）"/>
    <w:basedOn w:val="a1"/>
    <w:next w:val="ab"/>
    <w:qFormat/>
    <w:rsid w:val="00843F3C"/>
    <w:pPr>
      <w:keepNext/>
      <w:keepLines/>
      <w:numPr>
        <w:ilvl w:val="5"/>
        <w:numId w:val="1"/>
      </w:numPr>
      <w:spacing w:before="240" w:after="64" w:line="319" w:lineRule="auto"/>
      <w:jc w:val="left"/>
      <w:outlineLvl w:val="5"/>
    </w:pPr>
    <w:rPr>
      <w:rFonts w:ascii="Arial" w:eastAsia="黑体" w:hAnsi="Arial"/>
      <w:b/>
      <w:kern w:val="0"/>
    </w:rPr>
  </w:style>
  <w:style w:type="paragraph" w:customStyle="1" w:styleId="ac">
    <w:name w:val="插图（绿盟科技）"/>
    <w:next w:val="ab"/>
    <w:qFormat/>
    <w:rsid w:val="00843F3C"/>
    <w:pPr>
      <w:spacing w:beforeLines="25" w:afterLines="25"/>
      <w:jc w:val="center"/>
    </w:pPr>
    <w:rPr>
      <w:rFonts w:ascii="Arial" w:hAnsi="Arial"/>
      <w:sz w:val="21"/>
      <w:szCs w:val="21"/>
    </w:rPr>
  </w:style>
  <w:style w:type="paragraph" w:customStyle="1" w:styleId="a">
    <w:name w:val="插图标注（绿盟科技）"/>
    <w:next w:val="ab"/>
    <w:qFormat/>
    <w:rsid w:val="00843F3C"/>
    <w:pPr>
      <w:numPr>
        <w:ilvl w:val="6"/>
        <w:numId w:val="1"/>
      </w:numPr>
      <w:spacing w:after="156"/>
      <w:jc w:val="center"/>
    </w:pPr>
    <w:rPr>
      <w:rFonts w:ascii="Arial" w:hAnsi="Arial" w:cs="Arial"/>
      <w:sz w:val="21"/>
      <w:szCs w:val="21"/>
    </w:rPr>
  </w:style>
  <w:style w:type="paragraph" w:customStyle="1" w:styleId="a0">
    <w:name w:val="表格标注（绿盟科技）"/>
    <w:basedOn w:val="a"/>
    <w:next w:val="ab"/>
    <w:qFormat/>
    <w:rsid w:val="00843F3C"/>
    <w:pPr>
      <w:numPr>
        <w:ilvl w:val="7"/>
      </w:numPr>
    </w:pPr>
  </w:style>
  <w:style w:type="character" w:customStyle="1" w:styleId="1Char">
    <w:name w:val="标题 1 Char"/>
    <w:basedOn w:val="a2"/>
    <w:link w:val="10"/>
    <w:qFormat/>
    <w:rsid w:val="00843F3C"/>
    <w:rPr>
      <w:rFonts w:ascii="Times New Roman" w:eastAsia="宋体" w:hAnsi="Times New Roman" w:cs="Times New Roman"/>
      <w:b/>
      <w:bCs/>
      <w:kern w:val="44"/>
      <w:sz w:val="44"/>
      <w:szCs w:val="44"/>
    </w:rPr>
  </w:style>
  <w:style w:type="character" w:customStyle="1" w:styleId="2Char">
    <w:name w:val="标题 2 Char"/>
    <w:basedOn w:val="a2"/>
    <w:link w:val="20"/>
    <w:uiPriority w:val="9"/>
    <w:semiHidden/>
    <w:qFormat/>
    <w:rsid w:val="00843F3C"/>
    <w:rPr>
      <w:rFonts w:asciiTheme="majorHAnsi" w:eastAsiaTheme="majorEastAsia" w:hAnsiTheme="majorHAnsi" w:cstheme="majorBidi"/>
      <w:b/>
      <w:bCs/>
      <w:sz w:val="32"/>
      <w:szCs w:val="32"/>
    </w:rPr>
  </w:style>
  <w:style w:type="character" w:customStyle="1" w:styleId="3Char">
    <w:name w:val="标题 3 Char"/>
    <w:basedOn w:val="a2"/>
    <w:link w:val="30"/>
    <w:uiPriority w:val="9"/>
    <w:semiHidden/>
    <w:qFormat/>
    <w:rsid w:val="00843F3C"/>
    <w:rPr>
      <w:rFonts w:ascii="Times New Roman" w:eastAsia="宋体" w:hAnsi="Times New Roman" w:cs="Times New Roman"/>
      <w:b/>
      <w:bCs/>
      <w:sz w:val="32"/>
      <w:szCs w:val="32"/>
    </w:rPr>
  </w:style>
  <w:style w:type="character" w:customStyle="1" w:styleId="4Char">
    <w:name w:val="标题 4 Char"/>
    <w:basedOn w:val="a2"/>
    <w:link w:val="40"/>
    <w:uiPriority w:val="9"/>
    <w:semiHidden/>
    <w:qFormat/>
    <w:rsid w:val="00843F3C"/>
    <w:rPr>
      <w:rFonts w:asciiTheme="majorHAnsi" w:eastAsiaTheme="majorEastAsia" w:hAnsiTheme="majorHAnsi" w:cstheme="majorBidi"/>
      <w:b/>
      <w:bCs/>
      <w:sz w:val="28"/>
      <w:szCs w:val="28"/>
    </w:rPr>
  </w:style>
  <w:style w:type="character" w:customStyle="1" w:styleId="3Char0">
    <w:name w:val="正文文本缩进 3 Char"/>
    <w:basedOn w:val="a2"/>
    <w:link w:val="32"/>
    <w:qFormat/>
    <w:rsid w:val="00843F3C"/>
    <w:rPr>
      <w:rFonts w:ascii="Arial" w:eastAsia="宋体" w:hAnsi="Arial" w:cs="Times New Roman"/>
      <w:kern w:val="0"/>
      <w:sz w:val="16"/>
      <w:szCs w:val="16"/>
    </w:rPr>
  </w:style>
  <w:style w:type="character" w:customStyle="1" w:styleId="Char1">
    <w:name w:val="正文首行缩进（绿盟科技） Char"/>
    <w:basedOn w:val="a2"/>
    <w:link w:val="a9"/>
    <w:qFormat/>
    <w:rsid w:val="00843F3C"/>
    <w:rPr>
      <w:rFonts w:ascii="Arial" w:eastAsia="宋体" w:hAnsi="Arial" w:cs="Times New Roman"/>
      <w:kern w:val="0"/>
      <w:szCs w:val="21"/>
    </w:rPr>
  </w:style>
  <w:style w:type="paragraph" w:customStyle="1" w:styleId="TOC1">
    <w:name w:val="TOC 标题1"/>
    <w:basedOn w:val="10"/>
    <w:next w:val="a1"/>
    <w:uiPriority w:val="39"/>
    <w:unhideWhenUsed/>
    <w:qFormat/>
    <w:rsid w:val="00843F3C"/>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d">
    <w:name w:val="List Paragraph"/>
    <w:basedOn w:val="a1"/>
    <w:uiPriority w:val="34"/>
    <w:qFormat/>
    <w:rsid w:val="00843F3C"/>
    <w:pPr>
      <w:ind w:firstLineChars="200" w:firstLine="420"/>
    </w:pPr>
    <w:rPr>
      <w:szCs w:val="20"/>
    </w:rPr>
  </w:style>
  <w:style w:type="paragraph" w:styleId="ae">
    <w:name w:val="Balloon Text"/>
    <w:basedOn w:val="a1"/>
    <w:link w:val="Char2"/>
    <w:uiPriority w:val="99"/>
    <w:semiHidden/>
    <w:unhideWhenUsed/>
    <w:rsid w:val="00EC7A20"/>
    <w:rPr>
      <w:sz w:val="18"/>
      <w:szCs w:val="18"/>
    </w:rPr>
  </w:style>
  <w:style w:type="character" w:customStyle="1" w:styleId="Char2">
    <w:name w:val="批注框文本 Char"/>
    <w:basedOn w:val="a2"/>
    <w:link w:val="ae"/>
    <w:uiPriority w:val="99"/>
    <w:semiHidden/>
    <w:rsid w:val="00EC7A20"/>
    <w:rPr>
      <w:kern w:val="2"/>
      <w:sz w:val="18"/>
      <w:szCs w:val="18"/>
    </w:rPr>
  </w:style>
  <w:style w:type="paragraph" w:customStyle="1" w:styleId="Char3">
    <w:name w:val="Char"/>
    <w:basedOn w:val="a1"/>
    <w:rsid w:val="00F154ED"/>
    <w:pPr>
      <w:snapToGrid w:val="0"/>
      <w:spacing w:line="440"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C0970-1D27-4922-A2B7-1F998BEB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WHXX</cp:lastModifiedBy>
  <cp:revision>27</cp:revision>
  <dcterms:created xsi:type="dcterms:W3CDTF">2018-06-01T05:43:00Z</dcterms:created>
  <dcterms:modified xsi:type="dcterms:W3CDTF">2018-06-29T03:01:00Z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