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7F" w:rsidRDefault="00BF5006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数据中心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服务器集群扩容项目技术</w:t>
      </w:r>
      <w:r>
        <w:rPr>
          <w:rFonts w:ascii="仿宋" w:eastAsia="仿宋" w:hAnsi="仿宋" w:cs="仿宋"/>
          <w:b/>
          <w:bCs/>
          <w:sz w:val="44"/>
          <w:szCs w:val="44"/>
        </w:rPr>
        <w:t>要求</w:t>
      </w:r>
    </w:p>
    <w:p w:rsidR="00A10A7F" w:rsidRDefault="00BF5006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0"/>
          <w:szCs w:val="30"/>
        </w:rPr>
        <w:t>虚拟化优化扩容设备参数清单</w:t>
      </w:r>
    </w:p>
    <w:tbl>
      <w:tblPr>
        <w:tblW w:w="102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975"/>
        <w:gridCol w:w="6275"/>
        <w:gridCol w:w="512"/>
        <w:gridCol w:w="538"/>
        <w:gridCol w:w="1364"/>
      </w:tblGrid>
      <w:tr w:rsidR="00A10A7F">
        <w:trPr>
          <w:trHeight w:val="283"/>
          <w:tblHeader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技术参数、技术规格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虚拟化服务器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高度机架式服务器；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、处理器：不低于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Intel Xeon  4110(2.1GHz/8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/11MB/85W) 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模块，可支持最高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、内存：不低于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128GB 2Rx4 DDR4-2666P-R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内存模块；配置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个内存槽位，速率最高支持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2666MT/s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RDIMM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LRDIMM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，最大容量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3TB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、★硬盘：不低于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600GB 12k 2.5in SAS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硬盘模块，可扩展至≥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寸热插拔硬盘槽位，同时可扩展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寸硬盘，且全部硬盘可在不打开主机箱盖的情况下热插拔维护；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、★网卡：提供≥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个网卡专用插槽（不占用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PCIE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扩展槽），可选配千兆或万兆网卡；本次配置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4GE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千兆电接口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8Gb HBA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含光模块）；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、最多可提供≥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PCIE3.0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插槽；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、阵列控制卡：配置独立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RAID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卡，带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缓存，并配置超级电容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RAID0/1/10/5/6/50/60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MicroSD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M.2 SSD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RAID1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，作为虚拟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化或者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操作系统部署盘位；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拓展：可配置≥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双宽企业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块双端口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16Gb HBA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卡（含光模块）；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、★接口：≥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USB3.0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接口，最高可扩展至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USB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VGA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，可选配支持最高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VGA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接口；支持后部独立的管理端口；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串口；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、★电源：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版热插拔冗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余电源，支持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能效比的钛金级电源选件；提供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图和链接并加盖原厂商章；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、配件：配置机架导轨和安全面板；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、支持最高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5-50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标准工作温度，提供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图和链接证明并加盖原厂商章；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、★管理：配置≥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独立的远程管理控制端口；配置虚拟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可实现与操作系统无关的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远程对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服务器的完全控制，包括远程的开机、关机、重启、更新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Firmware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、虚拟光驱、虚拟文件夹等操作，提供服务器健康日记、服务器控制台录屏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回放功能，能够提供电源监控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图形化的机箱内部温度拓扑图显示，可支持动态功率封顶；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、嵌入式管理模块支持防火墙功能，可基于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地址，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，主机名定义访问规则；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、★为确保底层系统安全，可选配置中国标准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TCM 1.0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可信计算模块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、★支持机箱入侵侦测，在外部打开机箱时提供报警功能，提供该功能截图说明实现原理，并加盖原厂商章；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、★厂商资质：原厂商必须具有知识产权管理体系认证、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ISO50001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国际能源管理体系认证；提供以上证书并加盖原厂商章；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满足虚拟机数量增加与迁移宿主机的数量</w:t>
            </w:r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光纤交换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机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★为了适应环境条件有限的机房要求及易维护性，设备必须为前后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通风，风道可调，电源和风扇模块化热插拔，高度不超过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，业务接口面板全部位于正前方；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业务模块插槽数≥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个，整机最大支持不少于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个万兆光口、整机最大支持不少于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个万兆电口、整机最大支持不少于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接口，提供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图证明；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交换容量≥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，包转发率≥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1000Mpps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4.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★支持设备的多虚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能够将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台交换机虚拟化为一台逻辑设备，可以实现一致的转发表项，该功能提供第三方检测报告；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5.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支持纵向虚拟化技术，支持和接入设备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形成一台纵向逻辑虚拟设备且作为逻辑设备的控制核心；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6.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OpenFlow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Trill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VEPA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FCOE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等数据中心功能，提供第三方检测报告；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7.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ARP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表项≥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表项≥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IPV4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FIB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，提供第三方检测报告；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8.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OSPF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IS-IS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OSPFv3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IS-ISv6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BGP4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等路由协议，支持策略路由；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9.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802.1ae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Macsec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安全加密，实现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MAC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加密，包括用户数据加密、数据帧完整性检查及数据源真实性校验，该功能提供第三方检测报告；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ARP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入侵检测、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ARP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报文限速功能，支持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IP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源地址保护，支持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SSL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，保障数据传输安全，支持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Guest VLAN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＋端口的绑定、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IP+MAC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的绑定、端口＋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的绑定、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IP+MAC+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端口的绑定、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IP+MAC+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+VLAN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的绑定的功能；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持终端准入控制功能，配合后台系统可以将终端防病毒、补丁修复等终端安全措施与网络接入控制、访问权限控制等网络安全措施整合为一个联动的安全体系，通过对网络接入终端的检查、隔离、修复、管理和监控，使整个网络变被动防御为主动防御、变单点防御为全面防御、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分散管理为集中策略管理，提升了网络对病毒、蠕虫等新兴安全威胁的整体防御能力。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12.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管理方式：支持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SNMPv1/v2/v3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网管，支持命令行接口（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CLI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Telnet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Console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口进行配置，支持系统日志，分级告警，调试信息输出；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SFP+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万兆光接口、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QSFP+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8Gb 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端口激活，配置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个光模块。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配置冗余风扇、冗余交流电源。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构建标准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FC-SAN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服务器集群架构</w:t>
            </w:r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虚拟化软件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授权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原虚拟化软件为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H3C CAS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企业版，本次扩容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的企业版授权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License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、本次授权能够在原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H3C CAS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企业版虚拟化软件上使用。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H3C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软件技术支持服务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、含虚拟化扩容调试、数据备份、双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机热备软件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调试等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A10A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存储磁盘柜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、原存储型号为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MSA1040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，本次配置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盘位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3.5 in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硬盘扩展柜，并配置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4TB 7.2k SATA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、★支持兼容原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H3C CAS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企业版虚拟化软件，无缝兼容原虚拟化存储扩容。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套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增加存储容量</w:t>
            </w:r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机热备软件</w:t>
            </w:r>
            <w:proofErr w:type="gramEnd"/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、支持主备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(Active/Standby)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(Active/Active)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两种工作模式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、支持共享存储设备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应用服务进程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Windows Server 2000/2003/2008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Redhat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4/5/6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SuSE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9/10/11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Solaris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SCO Unix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等常用操作系统。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SCSI/ISCSI/FC/NAS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架构共享存储模式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Oracle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SQL Server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MySQL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Sybase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等主流数据库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IIS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Tomcat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Apache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等主流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Exchange 2003/2007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Domino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等邮件服务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NFS/Samba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等文件服务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、根据客户软件类型，可定制二次开发监控程序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、故障检测时间小于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，故障切换及恢复时间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10-20s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、可互相监控，避免软件本身的单点故障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、心跳连接支持网卡和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RS232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、可配合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Rose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灾产品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实现远程数据和应用容灾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、完善的日志记录和错误报警，便于错误跟踪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、可提供原厂商技术支持中心：免费电话、邮件、网络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远程支持</w:t>
            </w:r>
            <w:proofErr w:type="gram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机热备软件</w:t>
            </w:r>
            <w:proofErr w:type="gramEnd"/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HBA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光纤通道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HBA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带两个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SFP+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)(FIO)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服务器加装，构建存储共享式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FC-SAN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机热备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架构</w:t>
            </w:r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存储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光模块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4*16Gb SFP+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光纤通道光模块，支持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封装协议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原存储有一个，需要增加一个</w:t>
            </w:r>
          </w:p>
        </w:tc>
      </w:tr>
      <w:tr w:rsidR="00A10A7F">
        <w:trPr>
          <w:trHeight w:val="28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光纤跳线及辅材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LC-LC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口多模光纤跳线若干，满足系统使用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BF50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A7F" w:rsidRDefault="00A10A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10A7F" w:rsidRDefault="00BF500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注：“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★</w:t>
      </w:r>
      <w:r>
        <w:rPr>
          <w:rFonts w:ascii="宋体" w:eastAsia="宋体" w:hAnsi="宋体" w:cs="宋体"/>
          <w:color w:val="000000"/>
          <w:kern w:val="0"/>
          <w:sz w:val="20"/>
          <w:szCs w:val="20"/>
          <w:lang w:bidi="ar"/>
        </w:rPr>
        <w:t>”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项需要满足技术要求，提供相关资料。</w:t>
      </w:r>
    </w:p>
    <w:sectPr w:rsidR="00A1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950594"/>
    <w:multiLevelType w:val="singleLevel"/>
    <w:tmpl w:val="A59505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7F"/>
    <w:rsid w:val="00A10A7F"/>
    <w:rsid w:val="00BF5006"/>
    <w:rsid w:val="0DDE51B2"/>
    <w:rsid w:val="1EC84F40"/>
    <w:rsid w:val="5A81700F"/>
    <w:rsid w:val="5C4B365F"/>
    <w:rsid w:val="5D4A781B"/>
    <w:rsid w:val="69E56175"/>
    <w:rsid w:val="7F2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D4C69D-C80D-45AB-9CBB-6EFD79AD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Company>china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2018-11-14T00:32:00Z</dcterms:created>
  <dcterms:modified xsi:type="dcterms:W3CDTF">2018-11-14T00:32:00Z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