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inorEastAsia" w:hAnsiTheme="minorEastAsia"/>
          <w:b/>
          <w:bCs/>
          <w:sz w:val="44"/>
          <w:szCs w:val="4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1200T冷剪机制作要求</w:t>
      </w:r>
    </w:p>
    <w:p>
      <w:p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一、供货范围：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956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45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1200T冷剪机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含入料压紧装置、制动器离合器、鼓风装置、机上剪刃刀座（含上下剪刃）。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传动装置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电动机及底座；电机功率200KW，转速1480r/min。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auto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      软启动柜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1台</w:t>
            </w:r>
          </w:p>
        </w:tc>
        <w:tc>
          <w:tcPr>
            <w:tcW w:w="4572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知名品牌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剪刃更换小车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楷体" w:asciiTheme="minorEastAsia" w:hAnsiTheme="minorEastAsia"/>
                <w:szCs w:val="21"/>
              </w:rPr>
              <w:t>刀架组件（上</w:t>
            </w:r>
            <w:r>
              <w:rPr>
                <w:rFonts w:hint="eastAsia" w:cs="楷体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cs="楷体" w:asciiTheme="minorEastAsia" w:hAnsiTheme="minorEastAsia"/>
                <w:szCs w:val="21"/>
              </w:rPr>
              <w:t>下）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4套</w:t>
            </w:r>
          </w:p>
        </w:tc>
        <w:tc>
          <w:tcPr>
            <w:tcW w:w="45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含2套剪刃（4片）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废料收集框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2件</w:t>
            </w:r>
          </w:p>
        </w:tc>
        <w:tc>
          <w:tcPr>
            <w:tcW w:w="457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料筐应适合叉车搬运并设计成可自动倾空结构。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楷体" w:asciiTheme="minorEastAsia" w:hAnsiTheme="minorEastAsia"/>
                <w:szCs w:val="21"/>
              </w:rPr>
              <w:t>剪前升降辊道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楷体" w:asciiTheme="minorEastAsia" w:hAnsiTheme="minorEastAsia"/>
                <w:szCs w:val="21"/>
              </w:rPr>
            </w:pPr>
            <w:r>
              <w:rPr>
                <w:rFonts w:hint="eastAsia" w:cs="楷体" w:asciiTheme="minorEastAsia" w:hAnsiTheme="minorEastAsia"/>
                <w:szCs w:val="21"/>
              </w:rPr>
              <w:t>剪后摆动辊道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楷体" w:asciiTheme="minorEastAsia" w:hAnsiTheme="minorEastAsia"/>
                <w:szCs w:val="21"/>
              </w:rPr>
            </w:pPr>
            <w:r>
              <w:rPr>
                <w:rFonts w:hint="eastAsia" w:cs="楷体" w:asciiTheme="minorEastAsia" w:hAnsiTheme="minorEastAsia"/>
                <w:szCs w:val="21"/>
              </w:rPr>
              <w:t>液压系统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cs="楷体" w:asciiTheme="minorEastAsia" w:hAnsiTheme="minorEastAsia"/>
                <w:szCs w:val="21"/>
              </w:rPr>
            </w:pPr>
            <w:r>
              <w:rPr>
                <w:rFonts w:hint="eastAsia" w:cs="楷体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包括液压站，液压阀台及控制柜，及其与剪体间的配管等，不包括液压站至液压阀台之间配管。（控制阀台要求品牌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为知名品牌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楷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干油润滑系统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干油泵一用一备，含所有配管及元件。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稀油润滑系统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润滑站外置，泵一用一备，含所有配管及元件，要求有独立控制系统。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气动系统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包括气动三联件，储气罐及其以后的配管，不包括风源至气动三联件以前的配管。（一用一备，离合器和制动器采用一个两位五通气动阀控制，口径为40）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  <w:lang w:val="zh-CN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/>
              </w:rPr>
              <w:t>制动器及离合器摩擦片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</w:rPr>
              <w:t>2套</w:t>
            </w:r>
          </w:p>
        </w:tc>
        <w:tc>
          <w:tcPr>
            <w:tcW w:w="4572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/>
              </w:rPr>
              <w:t>各2套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  <w:lang w:val="zh-CN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/>
              </w:rPr>
              <w:t>侧滑板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</w:rPr>
              <w:t>1套</w:t>
            </w:r>
          </w:p>
        </w:tc>
        <w:tc>
          <w:tcPr>
            <w:tcW w:w="4572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</w:rPr>
              <w:t>ZCuAl10Fe3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Theme="minorEastAsia" w:hAnsiTheme="minorEastAsia" w:eastAsiaTheme="minorEastAsia" w:cstheme="minorBidi"/>
          <w:b w:val="0"/>
          <w:bCs w:val="0"/>
          <w:sz w:val="24"/>
          <w:szCs w:val="24"/>
          <w:lang w:bidi="ar-SA"/>
        </w:rPr>
        <w:t>备注：供货范围还包括设备上配置的检测元件（压力、温度、流量等）、端子接线箱、各种介质的机上、中间配管及相应的管路附件。</w:t>
      </w:r>
    </w:p>
    <w:p>
      <w:p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二、总体要求：</w:t>
      </w:r>
    </w:p>
    <w:p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1、设计要求：</w:t>
      </w:r>
    </w:p>
    <w:p>
      <w:pPr>
        <w:adjustRightInd w:val="0"/>
        <w:snapToGrid w:val="0"/>
        <w:spacing w:line="240" w:lineRule="auto"/>
        <w:textAlignment w:val="baseline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1.1 设备结构型式：龙门式曲柄连杆机构，</w:t>
      </w:r>
      <w:r>
        <w:rPr>
          <w:rFonts w:hint="eastAsia" w:asciiTheme="minorEastAsia" w:hAnsiTheme="minorEastAsia"/>
          <w:sz w:val="24"/>
        </w:rPr>
        <w:t>启停工作制；气动离合器、气动制动器</w:t>
      </w:r>
      <w:r>
        <w:rPr>
          <w:rFonts w:hint="eastAsia" w:asciiTheme="minorEastAsia" w:hAnsiTheme="minorEastAsia"/>
          <w:color w:val="000000"/>
          <w:sz w:val="24"/>
        </w:rPr>
        <w:t>；</w:t>
      </w:r>
      <w:r>
        <w:rPr>
          <w:rFonts w:hint="eastAsia" w:asciiTheme="minorEastAsia" w:hAnsiTheme="minorEastAsia"/>
          <w:sz w:val="24"/>
        </w:rPr>
        <w:t>下</w:t>
      </w:r>
      <w:r>
        <w:rPr>
          <w:rFonts w:asciiTheme="minorEastAsia" w:hAnsiTheme="minorEastAsia"/>
          <w:sz w:val="24"/>
        </w:rPr>
        <w:t>剪刃固定，上剪刃平行升降</w:t>
      </w:r>
      <w:r>
        <w:rPr>
          <w:rFonts w:hint="eastAsia" w:asciiTheme="minorEastAsia" w:hAnsiTheme="minorEastAsia"/>
          <w:sz w:val="24"/>
        </w:rPr>
        <w:t>，冷剪传动装置布置在钢材前进方向的右侧后方，稀油站外置。</w:t>
      </w:r>
    </w:p>
    <w:p>
      <w:pPr>
        <w:spacing w:line="240" w:lineRule="auto"/>
        <w:rPr>
          <w:rFonts w:cs="楷体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1.2 剪切能力：</w:t>
      </w:r>
      <w:r>
        <w:rPr>
          <w:rFonts w:hint="eastAsia" w:cs="楷体" w:asciiTheme="minorEastAsia" w:hAnsiTheme="minorEastAsia"/>
          <w:bCs/>
          <w:sz w:val="24"/>
          <w:szCs w:val="24"/>
        </w:rPr>
        <w:t>1200吨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1.3本体滑板与滑块接触面积：≥85%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highlight w:val="none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highlight w:val="none"/>
          <w:lang w:val="zh-CN"/>
        </w:rPr>
        <w:t>1.4剪刃宽度：1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zh-CN"/>
        </w:rPr>
        <w:t>00mm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1.5上剪刃行程、</w:t>
      </w:r>
      <w:r>
        <w:rPr>
          <w:rFonts w:cs="宋体" w:asciiTheme="minorEastAsia" w:hAnsiTheme="minorEastAsia"/>
          <w:kern w:val="0"/>
          <w:sz w:val="24"/>
          <w:lang w:val="zh-CN"/>
        </w:rPr>
        <w:t>开口度</w:t>
      </w:r>
      <w:r>
        <w:rPr>
          <w:rFonts w:hint="eastAsia" w:cs="宋体" w:asciiTheme="minorEastAsia" w:hAnsiTheme="minorEastAsia"/>
          <w:kern w:val="0"/>
          <w:sz w:val="24"/>
          <w:lang w:val="zh-CN"/>
        </w:rPr>
        <w:t>：≥200mm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1.6剪刃重合度：5-8mm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1.7刀片间隙：≤0.2mm</w:t>
      </w:r>
      <w:r>
        <w:rPr>
          <w:rFonts w:cs="宋体" w:asciiTheme="minorEastAsia" w:hAnsiTheme="minorEastAsia"/>
          <w:kern w:val="0"/>
          <w:sz w:val="24"/>
          <w:lang w:val="zh-CN"/>
        </w:rPr>
        <w:t xml:space="preserve"> 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压料方式：气缸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color w:val="000000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1.8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理论剪切次数：</w:t>
      </w:r>
      <w:r>
        <w:rPr>
          <w:rFonts w:hint="eastAsia" w:asciiTheme="minorEastAsia" w:hAnsiTheme="minorEastAsia"/>
          <w:color w:val="000000"/>
          <w:sz w:val="24"/>
        </w:rPr>
        <w:t>≥18次/分</w:t>
      </w:r>
    </w:p>
    <w:p>
      <w:pPr>
        <w:snapToGrid w:val="0"/>
        <w:spacing w:line="24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实际剪切次数：18</w:t>
      </w:r>
    </w:p>
    <w:p>
      <w:pPr>
        <w:adjustRightInd w:val="0"/>
        <w:snapToGrid w:val="0"/>
        <w:spacing w:line="240" w:lineRule="auto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lang w:val="zh-CN"/>
        </w:rPr>
        <w:t>1.9 剪切轧件规格：φ8~φ90mm圆钢</w:t>
      </w:r>
      <w:r>
        <w:rPr>
          <w:rFonts w:hint="eastAsia" w:asciiTheme="minorEastAsia" w:hAnsiTheme="minorEastAsia"/>
          <w:sz w:val="24"/>
          <w:szCs w:val="24"/>
        </w:rPr>
        <w:t>、螺纹钢（含PSB系列）</w:t>
      </w:r>
    </w:p>
    <w:p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1.10剪切轧件材质：碳素结构钢、优质碳素结构钢、低合金钢、螺纹钢、铆螺钢。</w:t>
      </w:r>
    </w:p>
    <w:p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1.11剪切轧件温度：</w:t>
      </w:r>
      <w:r>
        <w:rPr>
          <w:rFonts w:hint="eastAsia" w:cs="宋体" w:asciiTheme="minorEastAsia" w:hAnsiTheme="minorEastAsia"/>
          <w:kern w:val="0"/>
          <w:sz w:val="24"/>
          <w:lang w:val="zh-CN"/>
        </w:rPr>
        <w:t>常温～</w:t>
      </w:r>
      <w:r>
        <w:rPr>
          <w:rFonts w:hint="eastAsia" w:asciiTheme="minorEastAsia" w:hAnsiTheme="minorEastAsia"/>
          <w:sz w:val="24"/>
          <w:szCs w:val="24"/>
        </w:rPr>
        <w:t>500℃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color w:val="000000"/>
          <w:kern w:val="0"/>
          <w:sz w:val="24"/>
          <w:lang w:val="zh-CN"/>
        </w:rPr>
      </w:pPr>
      <w:r>
        <w:rPr>
          <w:rFonts w:hint="eastAsia" w:asciiTheme="minorEastAsia" w:hAnsiTheme="minorEastAsia"/>
          <w:sz w:val="24"/>
          <w:szCs w:val="24"/>
        </w:rPr>
        <w:t>1.12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冷剪操作控制满足手动、自动两种要求。</w:t>
      </w:r>
    </w:p>
    <w:p>
      <w:pPr>
        <w:adjustRightInd w:val="0"/>
        <w:snapToGrid w:val="0"/>
        <w:spacing w:line="240" w:lineRule="auto"/>
        <w:textAlignment w:val="baseline"/>
        <w:rPr>
          <w:rFonts w:cs="宋体" w:asciiTheme="minorEastAsia" w:hAnsiTheme="minorEastAsia"/>
          <w:b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</w:rPr>
        <w:t>1.13冷剪底座螺栓孔满足现场预留基础孔要求（基础图甲方提供）。</w:t>
      </w:r>
    </w:p>
    <w:p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2.部件功能要求</w:t>
      </w:r>
    </w:p>
    <w:p>
      <w:pPr>
        <w:spacing w:line="276" w:lineRule="auto"/>
        <w:ind w:righ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2.1冷剪本体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用途：完成整个剪切动作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冷剪本体包括：床身、滑块、过渡轴、曲柄、高速轴等组件，润滑系统（干、稀油）、动力元件及气动元件、气动管路。</w:t>
      </w:r>
    </w:p>
    <w:p>
      <w:pPr>
        <w:spacing w:line="276" w:lineRule="auto"/>
        <w:ind w:righ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体为冷剪机的主体，由主电机带动高速轴组件，高速轴配有制动器、离合器、飞轮。高速轴通过齿轮带动过渡轴，过渡轴带动曲柄连杆机构，实现剪切动作。其壳体为龙门式结构形式，床身底座及剪座支撑钢板厚度要加大设计，进一步增强刚性，底座螺栓同步加大设计（参考现场预留）。</w:t>
      </w:r>
    </w:p>
    <w:p>
      <w:pPr>
        <w:spacing w:line="276" w:lineRule="auto"/>
        <w:ind w:right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2.2 电机组件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用途：动力源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本部件为与本体分开的单独部件，主电机采用200KW卧式电机，为安全考虑配备有网罩。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2.3 风机装置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用途：制动器、离合器冷却装置</w:t>
      </w:r>
    </w:p>
    <w:p>
      <w:pPr>
        <w:spacing w:line="276" w:lineRule="auto"/>
        <w:ind w:right="56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本装置至在为制动器和离合器进行冷却的装置，采用风冷，减少制动器、离合器摩擦片磨损的情况。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2.4 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剪刃更换小车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用途：剪刃更换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此部分采用型钢焊接，采用一边拆卸、一边安装的设计理念，刀架进出采用滚轮带动。上、下刀座位置存在于两端，可一次性更换上、下刀片。每次更换时间约为15分钟。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本装置分为两部分，底座（含滚轮）及框架，底座部带滚轮用于在预先铺设的轨道上运行，框架通过连接销安装于底座上，框架以上安装有可供刀架行走的滚轮，无需驱动电机，人工操作。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使用范围：只在更换剪刃时用，不用时可通过轨道推拉至轨道头，不影响生产工作。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="楷体" w:hAnsi="楷体" w:eastAsia="楷体"/>
          <w:bCs/>
          <w:color w:val="auto"/>
          <w:sz w:val="24"/>
          <w:szCs w:val="24"/>
        </w:rPr>
        <w:t xml:space="preserve">2.5 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压钢装置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用途：压紧被剪切来料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 xml:space="preserve">此装置采用压缩空气为动力源，气路电磁阀控制气缸轴端拉、伸；气缸上端固定，下端采用气缸带动铰链机构，带动压辊抬起、落下对来料进行压紧。 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压钢装置属于本冷剪机自带设备，位于设备入料端墙板上；用于在料待剪切前及剪切过程中压紧来料，很好的控制了剪切过程中由于大的剪切力使来料弹起的情况。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2.6 对齐挡板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用途：轧制料剪切前进行对齐，减少废料。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此装置安装于冷剪机本体出口侧，当轧制来料时通过对齐挡板的挡板将来料进行对齐再进行剪切，配合压钢装置进行动作，动力源为气缸。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="楷体" w:hAnsi="楷体" w:eastAsia="楷体"/>
          <w:bCs/>
          <w:color w:val="auto"/>
          <w:sz w:val="24"/>
          <w:szCs w:val="24"/>
        </w:rPr>
        <w:t xml:space="preserve">2.7 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刀架组件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用途：冷剪机剪切部位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此组件安装于冷剪机本体上，上刀架安装于滑块上，下刀架安装于剪台位置，本组件配一付剪刃，安装于本体上后调整剪刃间隙至0.15-0.25mm之间方可进行剪切。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2.8 废料收集框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用途：收集废料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废料收集框一般位于收集坑内，对废料进行收集，一备一用，方便更换。</w:t>
      </w:r>
    </w:p>
    <w:p>
      <w:pPr>
        <w:tabs>
          <w:tab w:val="left" w:pos="399"/>
        </w:tabs>
        <w:spacing w:line="276" w:lineRule="auto"/>
        <w:rPr>
          <w:rFonts w:cs="楷体" w:asciiTheme="minorEastAsia" w:hAnsiTheme="minorEastAsia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 xml:space="preserve">2.9 </w:t>
      </w:r>
      <w:r>
        <w:rPr>
          <w:rFonts w:hint="eastAsia" w:cs="楷体" w:asciiTheme="minorEastAsia" w:hAnsiTheme="minorEastAsia"/>
          <w:sz w:val="24"/>
          <w:szCs w:val="24"/>
        </w:rPr>
        <w:t>剪前升降辊道</w:t>
      </w:r>
    </w:p>
    <w:p>
      <w:pPr>
        <w:tabs>
          <w:tab w:val="left" w:pos="399"/>
        </w:tabs>
        <w:spacing w:line="276" w:lineRule="auto"/>
        <w:ind w:firstLine="480"/>
        <w:rPr>
          <w:rFonts w:cs="楷体" w:asciiTheme="minorEastAsia" w:hAnsiTheme="minorEastAsia"/>
          <w:sz w:val="24"/>
          <w:szCs w:val="24"/>
        </w:rPr>
      </w:pPr>
      <w:r>
        <w:rPr>
          <w:rFonts w:hint="eastAsia" w:cs="楷体" w:asciiTheme="minorEastAsia" w:hAnsiTheme="minorEastAsia"/>
          <w:sz w:val="24"/>
          <w:szCs w:val="24"/>
        </w:rPr>
        <w:t>用途：避免轧制料进钢时碰撞下剪刃。</w:t>
      </w:r>
    </w:p>
    <w:p>
      <w:pPr>
        <w:tabs>
          <w:tab w:val="left" w:pos="399"/>
        </w:tabs>
        <w:spacing w:line="276" w:lineRule="auto"/>
        <w:ind w:firstLine="480"/>
        <w:rPr>
          <w:rFonts w:cs="楷体" w:asciiTheme="minorEastAsia" w:hAnsiTheme="minorEastAsia"/>
          <w:color w:val="FF0000"/>
          <w:sz w:val="24"/>
          <w:szCs w:val="24"/>
        </w:rPr>
      </w:pPr>
      <w:r>
        <w:rPr>
          <w:rFonts w:hint="eastAsia" w:cs="楷体" w:asciiTheme="minorEastAsia" w:hAnsiTheme="minorEastAsia"/>
          <w:sz w:val="24"/>
          <w:szCs w:val="24"/>
        </w:rPr>
        <w:t>位于冷剪机进料侧，与剪前辊道相连，当轧制料来料时通过气动元件将升降辊道抬起一定距离，可有效避免轧制料碰撞剪刃，减少剪刃损坏。</w:t>
      </w:r>
    </w:p>
    <w:p>
      <w:pPr>
        <w:tabs>
          <w:tab w:val="left" w:pos="399"/>
        </w:tabs>
        <w:spacing w:line="276" w:lineRule="auto"/>
        <w:rPr>
          <w:rFonts w:cs="楷体" w:asciiTheme="minorEastAsia" w:hAnsiTheme="minorEastAsia"/>
          <w:sz w:val="24"/>
          <w:szCs w:val="24"/>
        </w:rPr>
      </w:pPr>
      <w:r>
        <w:rPr>
          <w:rFonts w:hint="eastAsia" w:cs="楷体" w:asciiTheme="minorEastAsia" w:hAnsiTheme="minorEastAsia"/>
          <w:sz w:val="24"/>
          <w:szCs w:val="24"/>
        </w:rPr>
        <w:t>2.10 剪后提升辊道</w:t>
      </w:r>
    </w:p>
    <w:p>
      <w:pPr>
        <w:tabs>
          <w:tab w:val="left" w:pos="399"/>
        </w:tabs>
        <w:spacing w:line="276" w:lineRule="auto"/>
        <w:ind w:firstLine="480"/>
        <w:rPr>
          <w:rFonts w:cs="楷体" w:asciiTheme="minorEastAsia" w:hAnsiTheme="minorEastAsia"/>
          <w:sz w:val="24"/>
          <w:szCs w:val="24"/>
        </w:rPr>
      </w:pPr>
      <w:r>
        <w:rPr>
          <w:rFonts w:hint="eastAsia" w:cs="楷体" w:asciiTheme="minorEastAsia" w:hAnsiTheme="minorEastAsia"/>
          <w:sz w:val="24"/>
          <w:szCs w:val="24"/>
        </w:rPr>
        <w:t>用途：有效过钢</w:t>
      </w:r>
    </w:p>
    <w:p>
      <w:pPr>
        <w:tabs>
          <w:tab w:val="left" w:pos="399"/>
        </w:tabs>
        <w:spacing w:line="276" w:lineRule="auto"/>
        <w:ind w:firstLine="480"/>
        <w:rPr>
          <w:rFonts w:cs="楷体" w:asciiTheme="minorEastAsia" w:hAnsiTheme="minorEastAsia"/>
          <w:sz w:val="24"/>
          <w:szCs w:val="24"/>
        </w:rPr>
      </w:pPr>
      <w:r>
        <w:rPr>
          <w:rFonts w:hint="eastAsia" w:cs="楷体" w:asciiTheme="minorEastAsia" w:hAnsiTheme="minorEastAsia"/>
          <w:sz w:val="24"/>
          <w:szCs w:val="24"/>
        </w:rPr>
        <w:t>位于冷剪机出口位置，当轧制料通过冷剪机后，避免当有弯头钢时不能顺利过钢的情况设计。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2.11干油润滑系统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用途：用于本体内各轴瓦</w:t>
      </w:r>
      <w:r>
        <w:rPr>
          <w:rFonts w:hint="eastAsia" w:asciiTheme="minorEastAsia" w:hAnsiTheme="minorEastAsia"/>
          <w:sz w:val="24"/>
          <w:szCs w:val="24"/>
        </w:rPr>
        <w:t>、滑板与滑块之间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的润滑。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设备自带干油站，采用递进式分配器对润滑点进行多点润滑，并配齐所有管路，使本体内各轴瓦、滑块与床身之间等各润滑点得到充足润滑。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干油润滑系统为自动加油,干油泵要求一用一备。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2.12 稀油润滑系统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用途：用于本体内齿轮之间及轴承的润滑，箱体内支撑轴承润滑采用轴承座油孔润滑及油管油嘴喷油强制润滑（双润滑形式），油箱采用外置式，泵配置要求一用一备。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2.13 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气动系统</w:t>
      </w:r>
    </w:p>
    <w:p>
      <w:pPr>
        <w:spacing w:line="276" w:lineRule="auto"/>
        <w:ind w:firstLine="57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用途：用于对设备中气缸及制动器、离合器提供动力源。</w:t>
      </w:r>
    </w:p>
    <w:p>
      <w:pPr>
        <w:spacing w:line="276" w:lineRule="auto"/>
        <w:rPr>
          <w:rStyle w:val="11"/>
          <w:rFonts w:ascii="楷体" w:hAnsi="楷体" w:eastAsia="楷体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2.14 液压系统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用途：为刀架锁紧装置及液压缸提供动力源。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液压系统主要由液压缸、锁紧缸及液压阀块组成，自配液压管路、阀台和电控柜，当需要更换刀片时，为锁紧缸提供动力源打开、张紧，以配合液压缸推出刀架，实现更换剪刃的目的。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液压系统压力为8bar-12bar，系统配备液压阀台、液压缸等。</w:t>
      </w:r>
    </w:p>
    <w:p>
      <w:pPr>
        <w:spacing w:line="276" w:lineRule="auto"/>
        <w:ind w:firstLine="480" w:firstLineChars="200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自液压源—单向阀—电磁换向阀（二位四通、三位四通）—减压阀—油缸（液压缸、锁紧缸）。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2.15 电控</w:t>
      </w:r>
    </w:p>
    <w:p>
      <w:pPr>
        <w:spacing w:line="276" w:lineRule="auto"/>
        <w:rPr>
          <w:rStyle w:val="11"/>
          <w:rFonts w:asciiTheme="minorEastAsia" w:hAnsiTheme="minorEastAsia"/>
          <w:bCs/>
          <w:color w:val="auto"/>
          <w:sz w:val="24"/>
          <w:szCs w:val="24"/>
        </w:rPr>
      </w:pP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 xml:space="preserve">     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  <w:highlight w:val="none"/>
        </w:rPr>
        <w:t>配</w:t>
      </w:r>
      <w:r>
        <w:rPr>
          <w:rStyle w:val="11"/>
          <w:rFonts w:asciiTheme="minorEastAsia" w:hAnsiTheme="minorEastAsia"/>
          <w:bCs/>
          <w:color w:val="auto"/>
          <w:sz w:val="24"/>
          <w:szCs w:val="24"/>
          <w:highlight w:val="none"/>
        </w:rPr>
        <w:t>新的配电柜，柜内软启动器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  <w:highlight w:val="none"/>
        </w:rPr>
        <w:t>和</w:t>
      </w:r>
      <w:r>
        <w:rPr>
          <w:rStyle w:val="11"/>
          <w:rFonts w:asciiTheme="minorEastAsia" w:hAnsiTheme="minorEastAsia"/>
          <w:bCs/>
          <w:color w:val="auto"/>
          <w:sz w:val="24"/>
          <w:szCs w:val="24"/>
          <w:highlight w:val="none"/>
        </w:rPr>
        <w:t>开关、继电器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  <w:highlight w:val="none"/>
        </w:rPr>
        <w:t>等</w:t>
      </w:r>
      <w:r>
        <w:rPr>
          <w:rStyle w:val="11"/>
          <w:rFonts w:asciiTheme="minorEastAsia" w:hAnsiTheme="minorEastAsia"/>
          <w:bCs/>
          <w:color w:val="auto"/>
          <w:sz w:val="24"/>
          <w:szCs w:val="24"/>
          <w:highlight w:val="none"/>
        </w:rPr>
        <w:t>均采用施耐德的，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  <w:highlight w:val="none"/>
        </w:rPr>
        <w:t>除主电机电缆</w:t>
      </w:r>
      <w:r>
        <w:rPr>
          <w:rStyle w:val="11"/>
          <w:rFonts w:asciiTheme="minorEastAsia" w:hAnsiTheme="minorEastAsia"/>
          <w:bCs/>
          <w:color w:val="auto"/>
          <w:sz w:val="24"/>
          <w:szCs w:val="24"/>
          <w:highlight w:val="none"/>
        </w:rPr>
        <w:t>接入新的冷剪软启动柜内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  <w:highlight w:val="none"/>
        </w:rPr>
        <w:t>外，其余所有</w:t>
      </w:r>
      <w:r>
        <w:rPr>
          <w:rStyle w:val="11"/>
          <w:rFonts w:hint="eastAsia" w:asciiTheme="minorEastAsia" w:hAnsiTheme="minorEastAsia"/>
          <w:bCs/>
          <w:color w:val="auto"/>
          <w:sz w:val="24"/>
          <w:szCs w:val="24"/>
        </w:rPr>
        <w:t>电器原件连接线路，并接入我方制作的端子箱内，并提供接线端子图。</w:t>
      </w:r>
    </w:p>
    <w:p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3.加工材质要求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3.1 床身处底板厚度采用δ80，材质为 Q345B；前后龙门处厚度采用δ180，材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质为 Q345B；剪座支撑板采用δ200，材质为 Q345B；并且支撑板与剪座之间采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用塞焊工艺，前后龙门与底板亦进行塞焊工艺进行。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3.2曲轴采用材质为42CrMo，调质硬度</w:t>
      </w:r>
      <w:r>
        <w:rPr>
          <w:rFonts w:hint="eastAsia" w:asciiTheme="minorEastAsia" w:hAnsiTheme="minorEastAsia"/>
          <w:color w:val="000000"/>
          <w:sz w:val="24"/>
          <w:szCs w:val="24"/>
        </w:rPr>
        <w:t>HB260-285。</w:t>
      </w:r>
      <w:r>
        <w:rPr>
          <w:rFonts w:hint="eastAsia" w:asciiTheme="minorEastAsia" w:hAnsiTheme="minorEastAsia"/>
          <w:sz w:val="24"/>
          <w:szCs w:val="24"/>
        </w:rPr>
        <w:t>曲轴</w:t>
      </w:r>
      <w:r>
        <w:rPr>
          <w:rFonts w:hint="eastAsia" w:asciiTheme="minorEastAsia" w:hAnsiTheme="minorEastAsia"/>
          <w:color w:val="000000"/>
          <w:sz w:val="24"/>
          <w:szCs w:val="24"/>
        </w:rPr>
        <w:t>采用锻件毛坯，其锻造比不小于5，并达到规定的机械性能；</w:t>
      </w:r>
    </w:p>
    <w:p>
      <w:pPr>
        <w:spacing w:line="24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3.3 剪刃材质</w:t>
      </w:r>
      <w:r>
        <w:rPr>
          <w:rFonts w:hint="eastAsia" w:cs="Arial" w:asciiTheme="minorEastAsia" w:hAnsiTheme="minorEastAsia"/>
          <w:sz w:val="24"/>
          <w:szCs w:val="24"/>
        </w:rPr>
        <w:t>H13</w:t>
      </w:r>
      <w:r>
        <w:rPr>
          <w:rFonts w:hint="eastAsia" w:asciiTheme="minorEastAsia" w:hAnsiTheme="minorEastAsia"/>
          <w:color w:val="000000"/>
          <w:sz w:val="24"/>
          <w:szCs w:val="24"/>
        </w:rPr>
        <w:t>，应选用合格供应商；</w:t>
      </w:r>
    </w:p>
    <w:p>
      <w:pPr>
        <w:snapToGrid w:val="0"/>
        <w:spacing w:line="24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3.4 齿轮及齿轮轴材质：硬齿面，材质为20CrNi2MoA，渗碳淬火磨齿，精度等级达到8级以上；</w:t>
      </w:r>
    </w:p>
    <w:p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3.5 传动部分锻铸件毛坯符合JB/T5000.8-98 （ 锻件通用技术要求），等级为II级。齿轮、齿轮轴采用锻件毛坯，其锻造比不小于4，并达到规定的机械性能；</w:t>
      </w:r>
    </w:p>
    <w:p>
      <w:pPr>
        <w:spacing w:line="24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3.6 </w:t>
      </w:r>
      <w:r>
        <w:rPr>
          <w:rFonts w:hint="eastAsia" w:asciiTheme="minorEastAsia" w:hAnsiTheme="minorEastAsia"/>
          <w:color w:val="000000"/>
          <w:sz w:val="24"/>
          <w:szCs w:val="24"/>
        </w:rPr>
        <w:t>锻铸件均进行超声波探伤，均作为技术资料存档；</w:t>
      </w:r>
    </w:p>
    <w:p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3.7 </w:t>
      </w:r>
      <w:r>
        <w:rPr>
          <w:rFonts w:hint="eastAsia" w:asciiTheme="minorEastAsia" w:hAnsiTheme="minorEastAsia"/>
          <w:sz w:val="24"/>
          <w:szCs w:val="24"/>
        </w:rPr>
        <w:t>稀油润滑管路内、外部采用酸洗后不锈钢管，所有硬管配管采用锥密封接头（用焊接式连接）；</w:t>
      </w:r>
    </w:p>
    <w:p>
      <w:pPr>
        <w:spacing w:line="240" w:lineRule="auto"/>
        <w:rPr>
          <w:rFonts w:cs="楷体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楷体" w:asciiTheme="minorEastAsia" w:hAnsiTheme="minorEastAsia"/>
          <w:bCs/>
          <w:sz w:val="24"/>
          <w:szCs w:val="24"/>
        </w:rPr>
        <w:t>3.8冷剪床身采用钢结构焊接制造，材料为Q235A、Q345B（轴承座等）</w:t>
      </w:r>
      <w:r>
        <w:rPr>
          <w:rFonts w:hint="eastAsia" w:cs="楷体" w:asciiTheme="minorEastAsia" w:hAnsiTheme="minorEastAsia"/>
          <w:bCs/>
          <w:color w:val="FF0000"/>
          <w:sz w:val="24"/>
          <w:szCs w:val="24"/>
        </w:rPr>
        <w:t>，</w:t>
      </w:r>
      <w:r>
        <w:rPr>
          <w:rFonts w:hint="eastAsia" w:cs="楷体" w:asciiTheme="minorEastAsia" w:hAnsiTheme="minorEastAsia"/>
          <w:bCs/>
          <w:color w:val="000000"/>
          <w:sz w:val="24"/>
          <w:szCs w:val="24"/>
        </w:rPr>
        <w:t>钢板按Ra12.5下料加工（数控切割），周边去毛刺。焊缝采用气体保护焊。</w:t>
      </w:r>
    </w:p>
    <w:p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3.9</w:t>
      </w:r>
      <w:r>
        <w:rPr>
          <w:rFonts w:hint="eastAsia" w:cs="楷体" w:asciiTheme="minorEastAsia" w:hAnsiTheme="minorEastAsia"/>
          <w:bCs/>
          <w:color w:val="000000"/>
          <w:sz w:val="24"/>
          <w:szCs w:val="24"/>
        </w:rPr>
        <w:t>滑块导轨材质采用</w:t>
      </w:r>
      <w:r>
        <w:rPr>
          <w:rFonts w:hint="eastAsia" w:cs="楷体" w:asciiTheme="minorEastAsia" w:hAnsiTheme="minorEastAsia"/>
          <w:sz w:val="24"/>
          <w:szCs w:val="24"/>
        </w:rPr>
        <w:t>ZCuAl10Fe3。</w:t>
      </w:r>
    </w:p>
    <w:p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4.标准件/成套件要求</w:t>
      </w:r>
    </w:p>
    <w:p>
      <w:pPr>
        <w:spacing w:line="276" w:lineRule="auto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4.1 设备所有标准件，应有合格供应商出具的合格证明；</w:t>
      </w:r>
    </w:p>
    <w:p>
      <w:pPr>
        <w:spacing w:line="276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4.2 冷剪机所用的离合器及制动器均为国产名牌产品，传动轴承采用进口轴承（铜保持架），并出具报关单；</w:t>
      </w:r>
    </w:p>
    <w:p>
      <w:pPr>
        <w:spacing w:line="276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4.3 该设备主电机（功率：200KW  AC380V）应采用国产知名品牌；</w:t>
      </w:r>
    </w:p>
    <w:p>
      <w:pPr>
        <w:spacing w:line="276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4.4 其余所配备电动机均采用国内知名品牌（须有合格证）；</w:t>
      </w:r>
    </w:p>
    <w:p>
      <w:pPr>
        <w:spacing w:line="276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4.5 干油站选用国内知名品牌；</w:t>
      </w:r>
    </w:p>
    <w:p>
      <w:pPr>
        <w:spacing w:line="276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4.6 电器元件均采用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进口知名品牌</w:t>
      </w:r>
      <w:r>
        <w:rPr>
          <w:rFonts w:hint="eastAsia" w:asciiTheme="minorEastAsia" w:hAnsiTheme="minorEastAsia"/>
          <w:color w:val="000000"/>
          <w:sz w:val="24"/>
          <w:szCs w:val="24"/>
        </w:rPr>
        <w:t>；</w:t>
      </w:r>
    </w:p>
    <w:p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5. 制造过程控制要求</w:t>
      </w:r>
    </w:p>
    <w:p>
      <w:pPr>
        <w:spacing w:line="240" w:lineRule="auto"/>
        <w:rPr>
          <w:rFonts w:cs="楷体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楷体" w:asciiTheme="minorEastAsia" w:hAnsiTheme="minorEastAsia"/>
          <w:bCs/>
          <w:color w:val="000000"/>
          <w:sz w:val="24"/>
          <w:szCs w:val="24"/>
        </w:rPr>
        <w:t>5.1 床身焊接完成后进行退火处理，再进行粗加工，粗加工后进行二次退火处理，床身焊接后进行喷丸处理。</w:t>
      </w:r>
    </w:p>
    <w:p>
      <w:pPr>
        <w:spacing w:line="240" w:lineRule="auto"/>
        <w:rPr>
          <w:rFonts w:cs="楷体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楷体" w:asciiTheme="minorEastAsia" w:hAnsiTheme="minorEastAsia"/>
          <w:bCs/>
          <w:color w:val="000000"/>
          <w:sz w:val="24"/>
          <w:szCs w:val="24"/>
        </w:rPr>
        <w:t>5.2各轴承座处的焊缝均进行超声波探伤，探伤等级为GB/T11345-1989 B级；</w:t>
      </w:r>
    </w:p>
    <w:p>
      <w:pPr>
        <w:spacing w:line="240" w:lineRule="auto"/>
        <w:rPr>
          <w:rFonts w:cs="楷体" w:asciiTheme="minorEastAsia" w:hAnsiTheme="minorEastAsia"/>
          <w:bCs/>
          <w:color w:val="000000"/>
          <w:sz w:val="24"/>
          <w:szCs w:val="24"/>
        </w:rPr>
      </w:pPr>
      <w:r>
        <w:rPr>
          <w:rFonts w:hint="eastAsia" w:cs="楷体" w:asciiTheme="minorEastAsia" w:hAnsiTheme="minorEastAsia"/>
          <w:bCs/>
          <w:color w:val="000000"/>
          <w:sz w:val="24"/>
          <w:szCs w:val="24"/>
        </w:rPr>
        <w:t>支撑剪座的三块钢板和两个立板处的焊缝均进行超声波探伤（考虑增加钢板），探伤等级为GB/T11345-1989 B级。</w:t>
      </w:r>
    </w:p>
    <w:p>
      <w:pPr>
        <w:spacing w:line="276" w:lineRule="auto"/>
        <w:rPr>
          <w:rFonts w:asciiTheme="minorEastAsia" w:hAnsiTheme="minorEastAsia"/>
          <w:b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D2"/>
    <w:rsid w:val="000046F0"/>
    <w:rsid w:val="00054565"/>
    <w:rsid w:val="00075BAA"/>
    <w:rsid w:val="00085375"/>
    <w:rsid w:val="000A38F3"/>
    <w:rsid w:val="0016700F"/>
    <w:rsid w:val="001D5D60"/>
    <w:rsid w:val="001D796E"/>
    <w:rsid w:val="00206EC6"/>
    <w:rsid w:val="00237001"/>
    <w:rsid w:val="00244A2C"/>
    <w:rsid w:val="00251531"/>
    <w:rsid w:val="00271B2E"/>
    <w:rsid w:val="00272CE6"/>
    <w:rsid w:val="002800DA"/>
    <w:rsid w:val="002C3E6D"/>
    <w:rsid w:val="0034103A"/>
    <w:rsid w:val="00361181"/>
    <w:rsid w:val="004226B6"/>
    <w:rsid w:val="004344E3"/>
    <w:rsid w:val="00446D2B"/>
    <w:rsid w:val="0047241D"/>
    <w:rsid w:val="004A1787"/>
    <w:rsid w:val="004A1E16"/>
    <w:rsid w:val="004B189A"/>
    <w:rsid w:val="004C5B5F"/>
    <w:rsid w:val="00526DF2"/>
    <w:rsid w:val="005C6ABC"/>
    <w:rsid w:val="00611770"/>
    <w:rsid w:val="00631DBD"/>
    <w:rsid w:val="00645BFC"/>
    <w:rsid w:val="00667CDD"/>
    <w:rsid w:val="006A0F50"/>
    <w:rsid w:val="006E59CC"/>
    <w:rsid w:val="00731EDB"/>
    <w:rsid w:val="0074640F"/>
    <w:rsid w:val="007542D4"/>
    <w:rsid w:val="00762F97"/>
    <w:rsid w:val="007A454A"/>
    <w:rsid w:val="007F78D2"/>
    <w:rsid w:val="00825948"/>
    <w:rsid w:val="00834B0D"/>
    <w:rsid w:val="00892F5C"/>
    <w:rsid w:val="008C0049"/>
    <w:rsid w:val="008C212F"/>
    <w:rsid w:val="008C5240"/>
    <w:rsid w:val="008C6F7E"/>
    <w:rsid w:val="009061D2"/>
    <w:rsid w:val="009142A3"/>
    <w:rsid w:val="009209FF"/>
    <w:rsid w:val="0097384F"/>
    <w:rsid w:val="009F4732"/>
    <w:rsid w:val="00A21FD7"/>
    <w:rsid w:val="00A431D5"/>
    <w:rsid w:val="00A7786C"/>
    <w:rsid w:val="00B457C0"/>
    <w:rsid w:val="00BC56A3"/>
    <w:rsid w:val="00BE6AEE"/>
    <w:rsid w:val="00BF206C"/>
    <w:rsid w:val="00C00ED7"/>
    <w:rsid w:val="00C10B2D"/>
    <w:rsid w:val="00C60B56"/>
    <w:rsid w:val="00C7036D"/>
    <w:rsid w:val="00C706EE"/>
    <w:rsid w:val="00C80CD2"/>
    <w:rsid w:val="00CA398C"/>
    <w:rsid w:val="00CB07E0"/>
    <w:rsid w:val="00CF603B"/>
    <w:rsid w:val="00D00DF3"/>
    <w:rsid w:val="00D069B1"/>
    <w:rsid w:val="00D17450"/>
    <w:rsid w:val="00D30079"/>
    <w:rsid w:val="00D46655"/>
    <w:rsid w:val="00D6160E"/>
    <w:rsid w:val="00D75488"/>
    <w:rsid w:val="00D8077C"/>
    <w:rsid w:val="00DC67FD"/>
    <w:rsid w:val="00DD3533"/>
    <w:rsid w:val="00DD40E3"/>
    <w:rsid w:val="00DE5B9B"/>
    <w:rsid w:val="00E36A34"/>
    <w:rsid w:val="00E7214C"/>
    <w:rsid w:val="00E94CA7"/>
    <w:rsid w:val="00EC0F05"/>
    <w:rsid w:val="00F21500"/>
    <w:rsid w:val="00F24B18"/>
    <w:rsid w:val="00F30C33"/>
    <w:rsid w:val="00F575B5"/>
    <w:rsid w:val="00F83942"/>
    <w:rsid w:val="00FB0EDE"/>
    <w:rsid w:val="00FB43D6"/>
    <w:rsid w:val="00FD6D59"/>
    <w:rsid w:val="00FE0EAC"/>
    <w:rsid w:val="00FE6648"/>
    <w:rsid w:val="00FF7164"/>
    <w:rsid w:val="06065B75"/>
    <w:rsid w:val="0A707A23"/>
    <w:rsid w:val="0A8B3D44"/>
    <w:rsid w:val="0B4532DF"/>
    <w:rsid w:val="1E162D90"/>
    <w:rsid w:val="22687D59"/>
    <w:rsid w:val="2C113A2F"/>
    <w:rsid w:val="43FE20D6"/>
    <w:rsid w:val="532B2549"/>
    <w:rsid w:val="5A3557E6"/>
    <w:rsid w:val="610B0960"/>
    <w:rsid w:val="61531D8D"/>
    <w:rsid w:val="67EA7F28"/>
    <w:rsid w:val="70EB2705"/>
    <w:rsid w:val="740313DB"/>
    <w:rsid w:val="7E90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  <w:lang w:bidi="he-I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tyle11"/>
    <w:qFormat/>
    <w:uiPriority w:val="0"/>
    <w:rPr>
      <w:color w:val="006699"/>
    </w:rPr>
  </w:style>
  <w:style w:type="character" w:customStyle="1" w:styleId="12">
    <w:name w:val="标题 3 Char"/>
    <w:basedOn w:val="5"/>
    <w:link w:val="2"/>
    <w:qFormat/>
    <w:uiPriority w:val="0"/>
    <w:rPr>
      <w:b/>
      <w:bCs/>
      <w:kern w:val="2"/>
      <w:sz w:val="32"/>
      <w:szCs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523</Words>
  <Characters>2985</Characters>
  <Lines>24</Lines>
  <Paragraphs>7</Paragraphs>
  <TotalTime>85</TotalTime>
  <ScaleCrop>false</ScaleCrop>
  <LinksUpToDate>false</LinksUpToDate>
  <CharactersWithSpaces>3501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2018-10-28T02:34:00Z</dcterms:created>
  <dc:creator>gxm-z</dc:creator>
  <cp:lastModifiedBy>Administrator</cp:lastModifiedBy>
  <cp:lastPrinted>2018-10-23T03:46:00Z</cp:lastPrinted>
  <dcterms:modified xsi:type="dcterms:W3CDTF">2018-11-23T01:34:02Z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