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rPr>
          <w:trHeight w:val="3715" w:hRule="atLeast"/>
          <w:jc w:val="center"/>
        </w:trPr>
        <w:tc>
          <w:tcPr>
            <w:tcW w:w="9747" w:type="dxa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恒温恒湿称重系统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一）性能要求：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应用于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环境空气颗粒物（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TSP、PM10、PM2.5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）和低浓度固定污染源颗粒物的</w:t>
            </w:r>
            <w:r>
              <w:rPr>
                <w:rFonts w:hint="eastAsia" w:ascii="宋体" w:hAnsi="宋体" w:eastAsia="宋体"/>
                <w:szCs w:val="21"/>
              </w:rPr>
              <w:t>分析，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系统配备平衡式恒温恒湿控制系统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，采用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AC220V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val="en-US" w:eastAsia="zh-CN"/>
              </w:rPr>
              <w:t>常规电压，功率不高于2000W。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可一次预恒重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多张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47mm滤膜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90mm滤膜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以及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滤嘴或滤筒，内置十万分之一精密天平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val="en-US" w:eastAsia="zh-CN"/>
              </w:rPr>
              <w:t>，性能指标应符合JJG 1036的要求，同时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针对天平采取防震措施，采用吹扫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或其它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装置除静电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整个称量过程在密闭的洁净环境下完成，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能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防止环境尘埃污染，保证称量结果准确可靠。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二）技术指标要求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其中恒温恒湿设备满足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HJ 656要求；电子天平性能指标满足JJG 1036的要求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tbl>
            <w:tblPr>
              <w:tblW w:w="950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56"/>
              <w:gridCol w:w="2010"/>
              <w:gridCol w:w="1517"/>
              <w:gridCol w:w="3217"/>
            </w:tblGrid>
            <w:tr>
              <w:trPr>
                <w:trHeight w:val="477" w:hRule="atLeast"/>
                <w:jc w:val="center"/>
              </w:trPr>
              <w:tc>
                <w:tcPr>
                  <w:tcW w:w="2756" w:type="dxa"/>
                  <w:vAlign w:val="top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测量组分</w:t>
                  </w:r>
                </w:p>
              </w:tc>
              <w:tc>
                <w:tcPr>
                  <w:tcW w:w="201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测量范围</w:t>
                  </w:r>
                </w:p>
              </w:tc>
              <w:tc>
                <w:tcPr>
                  <w:tcW w:w="15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精度</w:t>
                  </w:r>
                </w:p>
              </w:tc>
              <w:tc>
                <w:tcPr>
                  <w:tcW w:w="32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控制误差</w:t>
                  </w:r>
                </w:p>
              </w:tc>
            </w:tr>
            <w:tr>
              <w:trPr>
                <w:trHeight w:val="518" w:hRule="atLeast"/>
                <w:jc w:val="center"/>
              </w:trPr>
              <w:tc>
                <w:tcPr>
                  <w:tcW w:w="2756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温度控制</w:t>
                  </w:r>
                </w:p>
              </w:tc>
              <w:tc>
                <w:tcPr>
                  <w:tcW w:w="201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-30)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℃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范围内</w:t>
                  </w: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任意一点</w:t>
                  </w:r>
                </w:p>
              </w:tc>
              <w:tc>
                <w:tcPr>
                  <w:tcW w:w="15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±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℃</w:t>
                  </w:r>
                </w:p>
              </w:tc>
              <w:tc>
                <w:tcPr>
                  <w:tcW w:w="32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≤±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℃</w:t>
                  </w:r>
                </w:p>
              </w:tc>
            </w:tr>
            <w:tr>
              <w:trPr>
                <w:trHeight w:val="477" w:hRule="atLeast"/>
                <w:jc w:val="center"/>
              </w:trPr>
              <w:tc>
                <w:tcPr>
                  <w:tcW w:w="2756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湿度控制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（相对）</w:t>
                  </w:r>
                </w:p>
              </w:tc>
              <w:tc>
                <w:tcPr>
                  <w:tcW w:w="201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50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±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）%RH</w:t>
                  </w:r>
                </w:p>
              </w:tc>
              <w:tc>
                <w:tcPr>
                  <w:tcW w:w="15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≤±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3%RH</w:t>
                  </w:r>
                </w:p>
              </w:tc>
              <w:tc>
                <w:tcPr>
                  <w:tcW w:w="32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≤±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%RH</w:t>
                  </w:r>
                </w:p>
              </w:tc>
            </w:tr>
            <w:tr>
              <w:trPr>
                <w:trHeight w:val="533" w:hRule="atLeast"/>
                <w:jc w:val="center"/>
              </w:trPr>
              <w:tc>
                <w:tcPr>
                  <w:tcW w:w="2756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天平系统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高低双量程切换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201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81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g/220g</w:t>
                  </w:r>
                </w:p>
              </w:tc>
              <w:tc>
                <w:tcPr>
                  <w:tcW w:w="15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0.01mg/0.1mg</w:t>
                  </w:r>
                </w:p>
              </w:tc>
              <w:tc>
                <w:tcPr>
                  <w:tcW w:w="3217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重复性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0.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1mg；线性误差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±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0.2mg</w:t>
                  </w:r>
                </w:p>
              </w:tc>
            </w:tr>
          </w:tbl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三）功能要求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（1）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预恒重存储空间，每张滤膜有独立存储位，针对称量样品的种类放置不同样品支架，可充分暴露于恒温恒湿环境中。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（2）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系统工作室是全封闭状态，保证滤膜与外界空气有效隔离，避免被二次污染。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（3）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天平试验台</w:t>
            </w: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  <w:t>具备可靠的抗震、隔振性能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</w:rPr>
              <w:t>，确保十万分之一电子天平不受振动干扰平稳工作。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070000" w:fill="FFFFFF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（4）自带数据记录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系统</w:t>
            </w:r>
            <w:r>
              <w:rPr>
                <w:rFonts w:hint="eastAsia" w:ascii="宋体" w:hAnsi="宋体" w:eastAsia="宋体"/>
                <w:szCs w:val="21"/>
              </w:rPr>
              <w:t>，可以连续存储数据，通过数据采集和处理软件，存储和传输测量数据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（所存储项目应至少包含：设定控制的温湿度数据、称量数据、平衡时间）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执行标准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应满足以下国家标准：                          </w:t>
            </w:r>
          </w:p>
          <w:p>
            <w:pPr>
              <w:tabs>
                <w:tab w:val="left" w:pos="0"/>
              </w:tabs>
              <w:spacing w:line="360" w:lineRule="auto"/>
              <w:jc w:val="righ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JJG 1036-2008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电子天平检定规程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tabs>
                <w:tab w:val="left" w:pos="0"/>
              </w:tabs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《HJ 618-2011 环境空气 PM10和PM2.5的测定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重量法》</w:t>
            </w:r>
          </w:p>
          <w:p>
            <w:pPr>
              <w:tabs>
                <w:tab w:val="left" w:pos="0"/>
              </w:tabs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《HJ836-2017固定污染源废气 低浓度颗粒物的测定 重量法》</w:t>
            </w:r>
          </w:p>
          <w:p>
            <w:pPr>
              <w:tabs>
                <w:tab w:val="left" w:pos="0"/>
              </w:tabs>
              <w:spacing w:line="360" w:lineRule="auto"/>
              <w:ind w:firstLine="960" w:firstLineChars="40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《HJ 656-2013 环境空气 颗粒物（PM2.5）手工监测方法（重量法）技术规范》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/>
                <w:szCs w:val="21"/>
              </w:rPr>
              <w:t>）配置要求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）配套附件及消耗品</w:t>
            </w:r>
          </w:p>
          <w:p>
            <w:pPr>
              <w:tabs>
                <w:tab w:val="left" w:pos="0"/>
              </w:tabs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整套设备如含有相关耗材，应至少满足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12个月使用</w:t>
            </w:r>
            <w:r>
              <w:rPr>
                <w:rFonts w:hint="eastAsia" w:ascii="宋体" w:hAnsi="宋体" w:eastAsia="宋体"/>
                <w:szCs w:val="21"/>
              </w:rPr>
              <w:t>、软件、数据线 1套、中、英文说明书 1套、出厂测试报告 1份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等。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/>
                <w:szCs w:val="21"/>
              </w:rPr>
              <w:t>）安装调试、验收及人员培训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1、到货后1周内到达用户现场安装、调试；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、提供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不少于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天的技术培训，包括：提供中文版操作规程或作业指导书、仪器的工作原理、仪器系统的参数设定、常见故障处理方法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、维护保养</w:t>
            </w:r>
            <w:r>
              <w:rPr>
                <w:rFonts w:hint="eastAsia" w:ascii="宋体" w:hAnsi="宋体" w:eastAsia="宋体"/>
                <w:szCs w:val="21"/>
              </w:rPr>
              <w:t>等。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/>
                <w:szCs w:val="21"/>
              </w:rPr>
              <w:t>）质保及售后服务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1、整机免费保修1年，保修期内，维修费、零件费、维修工程师差旅费全免。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hint="eastAsia" w:ascii="宋体" w:hAnsi="宋体"/>
                <w:szCs w:val="21"/>
                <w:lang w:eastAsia="zh-CN"/>
              </w:rPr>
              <w:t>在保修期内，</w:t>
            </w:r>
            <w:r>
              <w:rPr>
                <w:rFonts w:hint="eastAsia" w:ascii="宋体" w:hAnsi="宋体" w:eastAsia="宋体"/>
                <w:szCs w:val="21"/>
              </w:rPr>
              <w:t>仪器一旦出现故障，必须24小时内对产生故障原因给出明确答复，并在48小时内派维修人员到达现场维修或者提供相同型号的设备备用，直到仪器故障排除。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annotation text"/>
    <w:basedOn w:val="1"/>
    <w:link w:val="12"/>
    <w:rPr>
      <w:rFonts w:ascii="Calibri" w:hAnsi="Calibri" w:eastAsia="宋体" w:cs="Times New Roman"/>
    </w:rPr>
  </w:style>
  <w:style w:type="character" w:customStyle="1" w:styleId="3">
    <w:name w:val="批注文字 Char"/>
    <w:basedOn w:val="4"/>
    <w:link w:val="2"/>
    <w:semiHidden/>
    <w:rPr>
      <w:rFonts w:ascii="Calibri" w:hAnsi="Calibri" w:eastAsia="宋体" w:cs="Times New Roman"/>
    </w:rPr>
  </w:style>
  <w:style w:type="paragraph" w:styleId="5">
    <w:name w:val="批注框文本"/>
    <w:basedOn w:val="1"/>
    <w:link w:val="6"/>
    <w:rPr>
      <w:rFonts w:ascii="Calibri" w:hAnsi="Calibri" w:eastAsia="宋体" w:cs="Times New Roman"/>
      <w:sz w:val="18"/>
      <w:szCs w:val="18"/>
    </w:rPr>
  </w:style>
  <w:style w:type="character" w:customStyle="1" w:styleId="6">
    <w:name w:val="批注框文本 Char"/>
    <w:basedOn w:val="4"/>
    <w:link w:val="5"/>
    <w:semiHidden/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8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页脚 Char"/>
    <w:basedOn w:val="4"/>
    <w:link w:val="7"/>
    <w:semiHidden/>
    <w:rPr>
      <w:sz w:val="18"/>
      <w:szCs w:val="18"/>
    </w:rPr>
  </w:style>
  <w:style w:type="paragraph" w:styleId="9">
    <w:name w:val="header"/>
    <w:basedOn w:val="1"/>
    <w:link w:val="1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4"/>
    <w:link w:val="9"/>
    <w:semiHidden/>
    <w:rPr>
      <w:sz w:val="18"/>
      <w:szCs w:val="18"/>
    </w:rPr>
  </w:style>
  <w:style w:type="character" w:customStyle="1" w:styleId="11">
    <w:name w:val="annotation reference"/>
    <w:rPr>
      <w:sz w:val="21"/>
      <w:szCs w:val="21"/>
    </w:rPr>
  </w:style>
  <w:style w:type="character" w:customStyle="1" w:styleId="12">
    <w:name w:val="批注文字 Char1"/>
    <w:basedOn w:val="4"/>
    <w:link w:val="2"/>
    <w:semiHidden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1756</Characters>
  <Lines>14</Lines>
  <Paragraphs>4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2017-09-30T10:22:00Z</dcterms:created>
  <dc:creator>undefined</dc:creator>
  <cp:lastPrinted>2018-06-08T09:00:00Z</cp:lastPrinted>
  <dcterms:modified xsi:type="dcterms:W3CDTF">2019-04-16T16:15:51Z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