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440" w:lineRule="exact"/>
        <w:ind w:firstLine="2891" w:firstLineChars="900"/>
        <w:rPr>
          <w:rFonts w:hint="eastAsia" w:eastAsia="宋体"/>
          <w:b/>
          <w:sz w:val="32"/>
          <w:szCs w:val="32"/>
          <w:lang w:eastAsia="zh-CN"/>
        </w:rPr>
      </w:pPr>
      <w:bookmarkStart w:id="23" w:name="_GoBack"/>
      <w:bookmarkEnd w:id="23"/>
      <w:r>
        <w:rPr>
          <w:rFonts w:hint="eastAsia" w:eastAsia="宋体"/>
          <w:b/>
          <w:sz w:val="32"/>
          <w:szCs w:val="32"/>
          <w:lang w:eastAsia="zh-CN"/>
        </w:rPr>
        <w:t>测径仪招标的技术资料</w:t>
      </w:r>
    </w:p>
    <w:p>
      <w:pPr>
        <w:pStyle w:val="4"/>
        <w:spacing w:before="0" w:after="0" w:line="440" w:lineRule="exac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1、</w:t>
      </w:r>
      <w:bookmarkStart w:id="0" w:name="_Toc294431929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测量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材直径范围（mm）</w:t>
      </w:r>
      <w:bookmarkEnd w:id="0"/>
    </w:p>
    <w:p>
      <w:pPr>
        <w:spacing w:line="440" w:lineRule="exact"/>
        <w:ind w:firstLine="607" w:firstLineChars="253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150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 xml:space="preserve">    </w:t>
      </w:r>
    </w:p>
    <w:p>
      <w:pPr>
        <w:pStyle w:val="4"/>
        <w:spacing w:before="0" w:after="0" w:line="440" w:lineRule="exact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允许偏差（mm）</w:t>
      </w:r>
    </w:p>
    <w:p>
      <w:pPr>
        <w:spacing w:line="440" w:lineRule="exact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≤±0.02     圆 钢 </w:t>
      </w:r>
    </w:p>
    <w:p>
      <w:pPr>
        <w:pStyle w:val="4"/>
        <w:spacing w:before="0" w:after="0" w:line="440" w:lineRule="exact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bookmarkStart w:id="1" w:name="_Toc294431931"/>
      <w:bookmarkStart w:id="2" w:name="_Toc298856502"/>
      <w:bookmarkStart w:id="3" w:name="_Toc233528401"/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重复性（mm）</w:t>
      </w:r>
      <w:bookmarkEnd w:id="1"/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：≤±0.002</w:t>
      </w:r>
      <w:bookmarkEnd w:id="2"/>
    </w:p>
    <w:bookmarkEnd w:id="3"/>
    <w:p>
      <w:pPr>
        <w:pStyle w:val="4"/>
        <w:spacing w:before="0" w:after="0" w:line="440" w:lineRule="exact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bookmarkStart w:id="4" w:name="_Toc294431932"/>
      <w:bookmarkStart w:id="5" w:name="_Toc298856503"/>
      <w:bookmarkStart w:id="6" w:name="_Toc233528402"/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测量频率（Hz）</w:t>
      </w:r>
      <w:bookmarkEnd w:id="4"/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：666</w:t>
      </w:r>
      <w:bookmarkEnd w:id="5"/>
    </w:p>
    <w:p>
      <w:pPr>
        <w:pStyle w:val="4"/>
        <w:spacing w:before="0" w:after="0" w:line="440" w:lineRule="exact"/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</w:pPr>
      <w:bookmarkStart w:id="7" w:name="_Toc298856504"/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可测轧件速度（m/s）：</w:t>
      </w:r>
      <w:bookmarkEnd w:id="6"/>
      <w:bookmarkEnd w:id="7"/>
      <w:bookmarkStart w:id="8" w:name="_Toc294431933"/>
      <w:bookmarkStart w:id="9" w:name="_Toc233528403"/>
      <w:bookmarkStart w:id="10" w:name="_Toc298856505"/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0.3-6</w:t>
      </w:r>
    </w:p>
    <w:p>
      <w:pPr>
        <w:pStyle w:val="4"/>
        <w:spacing w:before="0" w:after="0" w:line="44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显示内容：</w:t>
      </w:r>
      <w:bookmarkEnd w:id="8"/>
      <w:bookmarkEnd w:id="9"/>
      <w:bookmarkEnd w:id="10"/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>
      <w:pPr>
        <w:spacing w:line="440" w:lineRule="exact"/>
        <w:ind w:firstLine="56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LCD显示：实时显示轧件外轮廓尺寸及截面图、公差带及超差数，尺寸波动趋势预报，缺陷分析曲线，实时显示圆钢的截面的最大/最小平均值、椭圆度；三级超差报警。在测量主界面上显示前一根和前两根钢直径平均值。</w:t>
      </w:r>
    </w:p>
    <w:p>
      <w:pPr>
        <w:spacing w:line="440" w:lineRule="exact"/>
        <w:ind w:firstLine="56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LED显示：现场显示测量数据的最大/最小平均值、椭圆度；前一根和前两根钢直径平均值显示频率2-3次/秒（可调）。</w:t>
      </w:r>
    </w:p>
    <w:p>
      <w:pPr>
        <w:pStyle w:val="4"/>
        <w:spacing w:before="0" w:after="0" w:line="440" w:lineRule="exact"/>
        <w:ind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1" w:name="_Toc294431934"/>
      <w:bookmarkStart w:id="12" w:name="_Toc298856506"/>
      <w:r>
        <w:rPr>
          <w:rFonts w:hint="eastAsia" w:ascii="宋体" w:hAnsi="宋体" w:eastAsia="宋体" w:cs="宋体"/>
          <w:b w:val="0"/>
          <w:sz w:val="24"/>
          <w:szCs w:val="24"/>
        </w:rPr>
        <w:t>LED显示屏配置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显示屏内含AC／DC电源模块，单片机、驱动模块、RS-232远距离通讯模块、铝合金框架的透明有机玻璃箱体等。LED显示屏外形尺寸：12米高×6米宽</w:t>
      </w:r>
    </w:p>
    <w:p>
      <w:pPr>
        <w:pStyle w:val="4"/>
        <w:numPr>
          <w:ilvl w:val="0"/>
          <w:numId w:val="1"/>
        </w:numPr>
        <w:spacing w:before="0" w:after="0" w:line="44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软件功能</w:t>
      </w:r>
      <w:bookmarkEnd w:id="11"/>
      <w:bookmarkEnd w:id="12"/>
    </w:p>
    <w:p>
      <w:pPr>
        <w:numPr>
          <w:ilvl w:val="0"/>
          <w:numId w:val="0"/>
        </w:numPr>
        <w:autoSpaceDE w:val="0"/>
        <w:autoSpaceDN w:val="0"/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window 7系统</w:t>
      </w:r>
      <w:r>
        <w:rPr>
          <w:rFonts w:hint="eastAsia"/>
          <w:sz w:val="28"/>
          <w:szCs w:val="28"/>
        </w:rPr>
        <w:t>中文版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，运行流畅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参数设置、数据记录、存储时间大于六个月,历史数据查询、打印；被测物公差带可根据需求自行设定。软件运行时自动存盘记录。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主机机箱电源550W（日系电容/14cm智能温控静音风扇/5年质保）内存：骇客神条 Fury系列 雷电 DDR4 2666 8GB台式机内存 硬盘：860 EVO 250G 2.5英寸 SATAIII SSD固态硬盘（MZ-76E250B）机箱：4U标准工控机箱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统计分析。轧件的尺寸趋势预报，对测量参数的统计分析；</w:t>
      </w:r>
    </w:p>
    <w:p>
      <w:pPr>
        <w:spacing w:line="44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主机保留</w:t>
      </w:r>
      <w:r>
        <w:rPr>
          <w:rFonts w:hint="eastAsia" w:ascii="宋体" w:hAnsi="宋体" w:eastAsia="宋体" w:cs="宋体"/>
          <w:sz w:val="24"/>
          <w:szCs w:val="24"/>
        </w:rPr>
        <w:t>与过程控制计算机系统的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通讯接口。（</w:t>
      </w:r>
      <w:r>
        <w:rPr>
          <w:rFonts w:hint="eastAsia"/>
          <w:color w:val="000000"/>
          <w:sz w:val="24"/>
        </w:rPr>
        <w:t>能与公司二级或MES等管理系统进行通讯连接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显示</w:t>
      </w:r>
      <w:r>
        <w:rPr>
          <w:rFonts w:hint="eastAsia" w:ascii="宋体" w:hAnsi="宋体" w:eastAsia="宋体" w:cs="宋体"/>
          <w:sz w:val="24"/>
          <w:szCs w:val="24"/>
        </w:rPr>
        <w:t>生产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/>
          <w:color w:val="000000"/>
          <w:sz w:val="24"/>
        </w:rPr>
        <w:t>温度、轧制规格、出钢支数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通知等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/>
          <w:color w:val="000000"/>
          <w:sz w:val="24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spacing w:before="0" w:after="0" w:line="440" w:lineRule="exact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298856507"/>
      <w:bookmarkStart w:id="14" w:name="_Toc294431935"/>
      <w:bookmarkStart w:id="15" w:name="_Toc233528404"/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sz w:val="24"/>
          <w:szCs w:val="24"/>
        </w:rPr>
        <w:t>报警功能</w:t>
      </w:r>
      <w:bookmarkEnd w:id="13"/>
      <w:bookmarkEnd w:id="14"/>
    </w:p>
    <w:p>
      <w:pPr>
        <w:spacing w:line="440" w:lineRule="exact"/>
        <w:ind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数据超出阈值范围后，或气压低于0.2Mpa时，声、光同时报警（超差和超温）；</w:t>
      </w:r>
      <w:bookmarkEnd w:id="15"/>
      <w:r>
        <w:rPr>
          <w:rFonts w:hint="eastAsia" w:ascii="宋体" w:hAnsi="宋体" w:eastAsia="宋体" w:cs="宋体"/>
          <w:sz w:val="24"/>
          <w:szCs w:val="24"/>
        </w:rPr>
        <w:t>超差报警信息可分类查询。上述报警信号提供无源信号给轧线自动化。</w:t>
      </w:r>
    </w:p>
    <w:p>
      <w:pPr>
        <w:spacing w:line="440" w:lineRule="exac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9、培训要求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安装调试过程即开始在现场的相应工作（培训与设备安装调试并行进行），进行维护人员、操作人员的培训。培训后的人员能达到正常生产的使用、维护和处理一般的故障的水平。培训内容：设备工作原理、系统构成介绍（光、机、电），设备的使用、维护及简单的故障排除、（提供教材）。</w:t>
      </w:r>
    </w:p>
    <w:p>
      <w:pPr>
        <w:spacing w:line="440" w:lineRule="exact"/>
        <w:ind w:firstLine="537" w:firstLineChars="192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在调试期间，</w:t>
      </w:r>
      <w:r>
        <w:rPr>
          <w:rFonts w:hint="eastAsia"/>
          <w:sz w:val="28"/>
          <w:szCs w:val="28"/>
        </w:rPr>
        <w:t>乙方随时提供在产品安装、调试所用备件，并无偿更换安装、调试时损坏的线缆、部件等。</w:t>
      </w:r>
      <w:bookmarkStart w:id="16" w:name="_Toc237428733"/>
      <w:bookmarkStart w:id="17" w:name="_Toc237345739"/>
      <w:bookmarkStart w:id="18" w:name="_Toc236298625"/>
    </w:p>
    <w:bookmarkEnd w:id="16"/>
    <w:bookmarkEnd w:id="17"/>
    <w:bookmarkEnd w:id="18"/>
    <w:p>
      <w:pPr>
        <w:pStyle w:val="2"/>
        <w:spacing w:before="0" w:after="0" w:line="440" w:lineRule="exact"/>
        <w:rPr>
          <w:b w:val="0"/>
          <w:sz w:val="28"/>
          <w:szCs w:val="28"/>
        </w:rPr>
      </w:pPr>
      <w:bookmarkStart w:id="19" w:name="_Toc295196058"/>
      <w:bookmarkStart w:id="20" w:name="_Toc298919739"/>
      <w:bookmarkStart w:id="21" w:name="_Toc298856556"/>
      <w:bookmarkStart w:id="22" w:name="_Toc298856988"/>
      <w:r>
        <w:rPr>
          <w:rFonts w:hint="eastAsia"/>
          <w:b w:val="0"/>
          <w:sz w:val="28"/>
          <w:szCs w:val="28"/>
          <w:lang w:val="en-US" w:eastAsia="zh-CN"/>
        </w:rPr>
        <w:t>10、</w:t>
      </w:r>
      <w:r>
        <w:rPr>
          <w:rFonts w:hint="eastAsia"/>
          <w:b w:val="0"/>
          <w:sz w:val="28"/>
          <w:szCs w:val="28"/>
        </w:rPr>
        <w:t>售后</w:t>
      </w:r>
      <w:bookmarkEnd w:id="19"/>
      <w:bookmarkEnd w:id="20"/>
      <w:bookmarkEnd w:id="21"/>
      <w:bookmarkEnd w:id="22"/>
      <w:r>
        <w:rPr>
          <w:rFonts w:hint="eastAsia"/>
          <w:b w:val="0"/>
          <w:sz w:val="28"/>
          <w:szCs w:val="28"/>
          <w:lang w:eastAsia="zh-CN"/>
        </w:rPr>
        <w:t>要求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质保期内因产品本身质量问题需要更换的零部件，乙方将免费提供（甲方原因引起的故障除外）。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五年内免费提供并更换自然损坏的光源；十年免费提供自然损坏的光源。</w:t>
      </w:r>
    </w:p>
    <w:p>
      <w:pPr>
        <w:spacing w:line="440" w:lineRule="exact"/>
        <w:ind w:firstLine="560" w:firstLineChars="200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根</w:t>
      </w:r>
      <w:r>
        <w:rPr>
          <w:rFonts w:hint="eastAsia" w:ascii="宋体" w:hAnsi="宋体"/>
          <w:sz w:val="28"/>
          <w:szCs w:val="28"/>
        </w:rPr>
        <w:t>据甲方要求，乙方接到甲方通知后,4小时内答复（含电话或传真），</w:t>
      </w:r>
      <w:r>
        <w:rPr>
          <w:rFonts w:hint="eastAsia"/>
          <w:sz w:val="28"/>
          <w:szCs w:val="28"/>
        </w:rPr>
        <w:t>若需进行现场处理，</w:t>
      </w:r>
      <w:r>
        <w:rPr>
          <w:rFonts w:hint="eastAsia" w:ascii="宋体" w:hAnsi="宋体"/>
          <w:sz w:val="28"/>
          <w:szCs w:val="28"/>
        </w:rPr>
        <w:t>48小时内到达，做出处理。</w:t>
      </w:r>
      <w:r>
        <w:rPr>
          <w:rFonts w:hint="eastAsia" w:ascii="宋体" w:hAnsi="宋体"/>
          <w:bCs/>
          <w:sz w:val="28"/>
          <w:szCs w:val="28"/>
        </w:rPr>
        <w:t>乙方终身免费提供技术咨询和软件免费升级服务</w:t>
      </w:r>
      <w:r>
        <w:rPr>
          <w:rFonts w:hint="eastAsia" w:ascii="宋体" w:hAnsi="宋体"/>
          <w:bCs/>
          <w:sz w:val="28"/>
          <w:szCs w:val="28"/>
          <w:lang w:eastAsia="zh-CN"/>
        </w:rPr>
        <w:t>等</w:t>
      </w:r>
      <w:r>
        <w:rPr>
          <w:rFonts w:hint="eastAsia" w:ascii="宋体" w:hAnsi="宋体"/>
          <w:sz w:val="28"/>
          <w:szCs w:val="28"/>
        </w:rPr>
        <w:t>技术服务支持。</w:t>
      </w:r>
      <w:r>
        <w:rPr>
          <w:rFonts w:hint="eastAsia" w:ascii="宋体" w:hAnsi="宋体"/>
          <w:sz w:val="28"/>
          <w:szCs w:val="28"/>
          <w:lang w:eastAsia="zh-CN"/>
        </w:rPr>
        <w:t>随货提供</w:t>
      </w:r>
      <w:r>
        <w:rPr>
          <w:rFonts w:hint="eastAsia" w:ascii="宋体" w:hAnsi="宋体"/>
          <w:bCs/>
          <w:sz w:val="28"/>
          <w:szCs w:val="28"/>
        </w:rPr>
        <w:t>设备装配图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</w:rPr>
        <w:t>设备配件清单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</w:rPr>
        <w:t>设备使用说明书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</w:rPr>
        <w:t>操作维护、维修手册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</w:rPr>
        <w:t>测量软件电子版</w:t>
      </w:r>
      <w:r>
        <w:rPr>
          <w:rFonts w:hint="eastAsia" w:ascii="宋体" w:hAnsi="宋体"/>
          <w:bCs/>
          <w:sz w:val="28"/>
          <w:szCs w:val="28"/>
          <w:lang w:eastAsia="zh-CN"/>
        </w:rPr>
        <w:t>等相关资料。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A9889"/>
    <w:multiLevelType w:val="singleLevel"/>
    <w:tmpl w:val="5D4A9889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83207"/>
    <w:rsid w:val="022E40B6"/>
    <w:rsid w:val="02A8272C"/>
    <w:rsid w:val="0C70743D"/>
    <w:rsid w:val="40B75D21"/>
    <w:rsid w:val="46C76AF6"/>
    <w:rsid w:val="7E3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line="240" w:lineRule="auto"/>
      <w:ind w:firstLine="0" w:firstLineChars="0"/>
      <w:outlineLvl w:val="1"/>
    </w:pPr>
    <w:rPr>
      <w:b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customStyle="1" w:styleId="8">
    <w:name w:val="Body Text First Indent3"/>
    <w:basedOn w:val="5"/>
    <w:qFormat/>
    <w:uiPriority w:val="0"/>
    <w:pPr>
      <w:adjustRightInd w:val="0"/>
      <w:spacing w:after="0" w:line="312" w:lineRule="auto"/>
      <w:ind w:firstLine="567"/>
      <w:textAlignment w:val="baseline"/>
    </w:pPr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2019-03-28T03:10:00Z</dcterms:created>
  <dc:creator>Administrator</dc:creator>
  <cp:lastModifiedBy>过志峰</cp:lastModifiedBy>
  <cp:lastPrinted>2019-08-12T07:43:00Z</cp:lastPrinted>
  <dcterms:modified xsi:type="dcterms:W3CDTF">2019-08-14T07:01:53Z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