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240" w:lineRule="auto"/>
        <w:rPr>
          <w:rFonts w:ascii="宋体" w:hAnsi="宋体"/>
          <w:b/>
        </w:rPr>
      </w:pPr>
      <w:r>
        <w:rPr>
          <w:rFonts w:hint="eastAsia" w:ascii="宋体" w:hAnsi="宋体"/>
          <w:b/>
        </w:rPr>
        <w:t>一般要求</w:t>
      </w:r>
    </w:p>
    <w:p>
      <w:pPr>
        <w:pStyle w:val="2"/>
        <w:spacing w:line="240" w:lineRule="auto"/>
        <w:ind w:left="480"/>
        <w:rPr>
          <w:rFonts w:ascii="宋体" w:hAnsi="宋体"/>
          <w:b/>
          <w:bCs/>
        </w:rPr>
      </w:pPr>
      <w:r>
        <w:rPr>
          <w:rFonts w:ascii="宋体" w:hAnsi="宋体"/>
        </w:rPr>
        <w:t xml:space="preserve">    </w:t>
      </w: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240" w:lineRule="auto"/>
        <w:rPr>
          <w:rFonts w:hint="eastAsia" w:ascii="宋体" w:hAnsi="宋体"/>
          <w:b/>
        </w:rPr>
      </w:pPr>
      <w:r>
        <w:rPr>
          <w:rFonts w:hint="eastAsia" w:ascii="宋体" w:hAnsi="宋体"/>
          <w:b/>
        </w:rPr>
        <w:t>投标保证金</w:t>
      </w:r>
    </w:p>
    <w:p>
      <w:pPr>
        <w:tabs>
          <w:tab w:val="left" w:pos="420"/>
          <w:tab w:val="left" w:pos="630"/>
        </w:tabs>
        <w:spacing w:line="240" w:lineRule="auto"/>
        <w:ind w:left="480" w:leftChars="200" w:firstLine="480" w:firstLineChars="200"/>
        <w:rPr>
          <w:rFonts w:hint="eastAsia" w:ascii="宋体" w:hAnsi="宋体"/>
          <w:bCs/>
          <w:sz w:val="32"/>
        </w:rPr>
      </w:pPr>
      <w:r>
        <w:rPr>
          <w:rFonts w:hint="eastAsia" w:ascii="宋体" w:hAnsi="宋体"/>
          <w:bCs/>
        </w:rPr>
        <w:t>本次招标收取</w:t>
      </w:r>
      <w:r>
        <w:rPr>
          <w:rFonts w:hint="eastAsia" w:ascii="宋体" w:hAnsi="宋体"/>
          <w:bCs/>
          <w:color w:val="0000FF"/>
          <w:u w:val="single"/>
        </w:rPr>
        <w:t>投标保证金</w:t>
      </w:r>
      <w:r>
        <w:rPr>
          <w:rFonts w:hint="eastAsia" w:ascii="宋体" w:hAnsi="宋体"/>
          <w:b/>
          <w:bCs/>
          <w:color w:val="FF0000"/>
          <w:u w:val="single"/>
          <w:lang w:val="en-US" w:eastAsia="zh-CN"/>
        </w:rPr>
        <w:t>壹万元</w:t>
      </w:r>
      <w:r>
        <w:rPr>
          <w:rFonts w:hint="eastAsia" w:ascii="宋体" w:hAnsi="宋体"/>
          <w:bCs/>
          <w:color w:val="0000FF"/>
          <w:u w:val="single"/>
        </w:rPr>
        <w:t>（电汇，基本账户汇款）</w:t>
      </w:r>
      <w:r>
        <w:rPr>
          <w:rFonts w:hint="eastAsia" w:ascii="宋体" w:hAnsi="宋体"/>
          <w:bCs/>
        </w:rPr>
        <w:t>，投标人需在</w:t>
      </w:r>
      <w:r>
        <w:rPr>
          <w:rFonts w:hint="eastAsia" w:ascii="宋体" w:hAnsi="宋体"/>
          <w:u w:val="single"/>
          <w:lang w:val="en-US" w:eastAsia="zh-CN"/>
        </w:rPr>
        <w:t>2020</w:t>
      </w:r>
      <w:r>
        <w:rPr>
          <w:rFonts w:hint="eastAsia" w:ascii="宋体" w:hAnsi="宋体"/>
          <w:bCs/>
          <w:color w:val="7030A0"/>
        </w:rPr>
        <w:t>年</w:t>
      </w:r>
      <w:r>
        <w:rPr>
          <w:rFonts w:hint="eastAsia" w:ascii="宋体" w:hAnsi="宋体"/>
          <w:u w:val="single"/>
          <w:lang w:val="en-US" w:eastAsia="zh-CN"/>
        </w:rPr>
        <w:t>04</w:t>
      </w:r>
      <w:r>
        <w:rPr>
          <w:rFonts w:hint="eastAsia" w:ascii="宋体" w:hAnsi="宋体"/>
          <w:bCs/>
          <w:color w:val="7030A0"/>
        </w:rPr>
        <w:t>月</w:t>
      </w:r>
      <w:r>
        <w:rPr>
          <w:rFonts w:hint="eastAsia" w:ascii="宋体" w:hAnsi="宋体"/>
          <w:u w:val="single"/>
          <w:lang w:val="en-US" w:eastAsia="zh-CN"/>
        </w:rPr>
        <w:t>20</w:t>
      </w:r>
      <w:bookmarkStart w:id="0" w:name="_GoBack"/>
      <w:bookmarkEnd w:id="0"/>
      <w:r>
        <w:rPr>
          <w:rFonts w:hint="eastAsia" w:ascii="宋体" w:hAnsi="宋体"/>
          <w:bCs/>
          <w:color w:val="7030A0"/>
        </w:rPr>
        <w:t>日</w:t>
      </w:r>
      <w:r>
        <w:rPr>
          <w:rFonts w:hint="eastAsia" w:ascii="宋体" w:hAnsi="宋体"/>
          <w:u w:val="single"/>
          <w:lang w:val="en-US" w:eastAsia="zh-CN"/>
        </w:rPr>
        <w:t>16:30</w:t>
      </w:r>
      <w:r>
        <w:rPr>
          <w:rFonts w:hint="eastAsia" w:ascii="宋体" w:hAnsi="宋体"/>
          <w:bCs/>
          <w:color w:val="7030A0"/>
        </w:rPr>
        <w:t>点前</w:t>
      </w:r>
      <w:r>
        <w:rPr>
          <w:rFonts w:hint="eastAsia" w:ascii="宋体" w:hAnsi="宋体"/>
          <w:bCs/>
        </w:rPr>
        <w:t>缴纳此费用（否则视为自动放弃投标资格），注明投标保证金。如未中标，发包人将会无息退还此费用(60日内)，如中标，则此款项自动转为履约保证金。</w:t>
      </w:r>
    </w:p>
    <w:p>
      <w:pPr>
        <w:spacing w:line="240" w:lineRule="auto"/>
        <w:ind w:firstLine="1680" w:firstLineChars="700"/>
        <w:rPr>
          <w:rFonts w:ascii="宋体" w:hAnsi="宋体"/>
          <w:bCs/>
        </w:rPr>
      </w:pPr>
      <w:r>
        <w:rPr>
          <w:rFonts w:hint="eastAsia" w:ascii="宋体" w:hAnsi="宋体"/>
          <w:bCs/>
        </w:rPr>
        <w:t>单位名称：芜湖新兴铸管有限责任公司</w:t>
      </w:r>
      <w:r>
        <w:rPr>
          <w:rFonts w:ascii="宋体" w:hAnsi="宋体"/>
          <w:bCs/>
        </w:rPr>
        <w:t xml:space="preserve">         </w:t>
      </w:r>
    </w:p>
    <w:p>
      <w:pPr>
        <w:spacing w:line="240" w:lineRule="auto"/>
        <w:ind w:firstLine="1680" w:firstLineChars="700"/>
        <w:rPr>
          <w:rFonts w:hint="eastAsia" w:ascii="宋体" w:hAnsi="宋体"/>
          <w:bCs/>
        </w:rPr>
      </w:pPr>
      <w:r>
        <w:rPr>
          <w:rFonts w:hint="eastAsia" w:ascii="宋体" w:hAnsi="宋体"/>
          <w:bCs/>
        </w:rPr>
        <w:t>单位地址：芜湖市</w:t>
      </w:r>
      <w:r>
        <w:rPr>
          <w:rFonts w:ascii="宋体" w:hAnsi="宋体"/>
          <w:bCs/>
        </w:rPr>
        <w:t>三山区经济开发区</w:t>
      </w:r>
      <w:r>
        <w:rPr>
          <w:rFonts w:hint="eastAsia" w:ascii="宋体" w:hAnsi="宋体"/>
          <w:bCs/>
        </w:rPr>
        <w:t>春洲路2号</w:t>
      </w:r>
    </w:p>
    <w:p>
      <w:pPr>
        <w:spacing w:line="240" w:lineRule="auto"/>
        <w:ind w:firstLine="1680" w:firstLineChars="700"/>
        <w:rPr>
          <w:rFonts w:ascii="宋体" w:hAnsi="宋体"/>
          <w:bCs/>
        </w:rPr>
      </w:pPr>
      <w:r>
        <w:rPr>
          <w:rFonts w:hint="eastAsia" w:ascii="宋体" w:hAnsi="宋体"/>
          <w:bCs/>
        </w:rPr>
        <w:t>开</w:t>
      </w:r>
      <w:r>
        <w:rPr>
          <w:rFonts w:ascii="宋体" w:hAnsi="宋体"/>
          <w:bCs/>
        </w:rPr>
        <w:t xml:space="preserve"> </w:t>
      </w:r>
      <w:r>
        <w:rPr>
          <w:rFonts w:hint="eastAsia" w:ascii="宋体" w:hAnsi="宋体"/>
          <w:bCs/>
        </w:rPr>
        <w:t>户</w:t>
      </w:r>
      <w:r>
        <w:rPr>
          <w:rFonts w:ascii="宋体" w:hAnsi="宋体"/>
          <w:bCs/>
        </w:rPr>
        <w:t xml:space="preserve"> </w:t>
      </w:r>
      <w:r>
        <w:rPr>
          <w:rFonts w:hint="eastAsia" w:ascii="宋体" w:hAnsi="宋体"/>
          <w:bCs/>
        </w:rPr>
        <w:t>行：工商银行环城路支行（工行环办）</w:t>
      </w:r>
    </w:p>
    <w:p>
      <w:pPr>
        <w:spacing w:line="240" w:lineRule="auto"/>
        <w:ind w:firstLine="1653" w:firstLineChars="689"/>
        <w:rPr>
          <w:rFonts w:hint="eastAsia" w:ascii="宋体" w:hAnsi="宋体"/>
          <w:bCs/>
        </w:rPr>
      </w:pPr>
      <w:r>
        <w:rPr>
          <w:rFonts w:hint="eastAsia" w:ascii="宋体" w:hAnsi="宋体"/>
          <w:bCs/>
        </w:rPr>
        <w:t>帐</w:t>
      </w:r>
      <w:r>
        <w:rPr>
          <w:rFonts w:ascii="宋体" w:hAnsi="宋体"/>
          <w:bCs/>
        </w:rPr>
        <w:t xml:space="preserve">    </w:t>
      </w:r>
      <w:r>
        <w:rPr>
          <w:rFonts w:hint="eastAsia" w:ascii="宋体" w:hAnsi="宋体"/>
          <w:bCs/>
        </w:rPr>
        <w:t>号：1307023219000109264</w:t>
      </w:r>
    </w:p>
    <w:p>
      <w:pPr>
        <w:spacing w:line="240" w:lineRule="auto"/>
        <w:ind w:firstLine="1653" w:firstLineChars="689"/>
        <w:rPr>
          <w:rFonts w:hint="eastAsia" w:ascii="宋体" w:hAnsi="宋体"/>
          <w:bCs/>
        </w:rPr>
      </w:pPr>
    </w:p>
    <w:p>
      <w:pPr>
        <w:numPr>
          <w:ilvl w:val="0"/>
          <w:numId w:val="1"/>
        </w:numPr>
        <w:spacing w:line="240" w:lineRule="auto"/>
        <w:rPr>
          <w:rFonts w:ascii="宋体" w:hAnsi="宋体"/>
          <w:b/>
        </w:rPr>
      </w:pPr>
      <w:r>
        <w:rPr>
          <w:rFonts w:hint="eastAsia" w:ascii="宋体" w:hAnsi="宋体"/>
          <w:b/>
        </w:rPr>
        <w:t>投标文件的语言</w:t>
      </w:r>
    </w:p>
    <w:p>
      <w:pPr>
        <w:spacing w:line="240" w:lineRule="auto"/>
        <w:ind w:left="571" w:leftChars="238" w:firstLine="480" w:firstLineChars="200"/>
        <w:rPr>
          <w:rFonts w:ascii="宋体" w:hAnsi="宋体"/>
        </w:rPr>
      </w:pPr>
      <w:r>
        <w:rPr>
          <w:rFonts w:hint="eastAsia" w:ascii="宋体" w:hAnsi="宋体"/>
        </w:rPr>
        <w:t>投标文件应用中文编写；度量衡采用国家法定单位制（即国际单位制）；货币采用人民币。</w:t>
      </w:r>
    </w:p>
    <w:p>
      <w:pPr>
        <w:numPr>
          <w:ilvl w:val="0"/>
          <w:numId w:val="1"/>
        </w:numPr>
        <w:spacing w:line="240" w:lineRule="auto"/>
        <w:rPr>
          <w:rFonts w:ascii="宋体" w:hAnsi="宋体"/>
          <w:b/>
        </w:rPr>
      </w:pPr>
      <w:r>
        <w:rPr>
          <w:rFonts w:hint="eastAsia" w:ascii="宋体" w:hAnsi="宋体"/>
          <w:b/>
        </w:rPr>
        <w:t>投标有效期</w:t>
      </w:r>
    </w:p>
    <w:p>
      <w:pPr>
        <w:spacing w:line="240" w:lineRule="auto"/>
        <w:ind w:firstLine="1020" w:firstLineChars="425"/>
        <w:rPr>
          <w:rFonts w:ascii="宋体" w:hAnsi="宋体"/>
        </w:rPr>
      </w:pPr>
      <w:r>
        <w:rPr>
          <w:rFonts w:hint="eastAsia" w:ascii="宋体" w:hAnsi="宋体"/>
        </w:rPr>
        <w:t>投标有效期:90天。</w:t>
      </w:r>
    </w:p>
    <w:p>
      <w:pPr>
        <w:numPr>
          <w:ilvl w:val="0"/>
          <w:numId w:val="1"/>
        </w:numPr>
        <w:spacing w:line="240" w:lineRule="auto"/>
        <w:rPr>
          <w:rFonts w:ascii="宋体" w:hAnsi="宋体"/>
          <w:b/>
        </w:rPr>
      </w:pPr>
      <w:r>
        <w:rPr>
          <w:rFonts w:hint="eastAsia" w:ascii="宋体" w:hAnsi="宋体"/>
          <w:b/>
        </w:rPr>
        <w:t>投标人要求</w:t>
      </w:r>
    </w:p>
    <w:p>
      <w:pPr>
        <w:numPr>
          <w:ilvl w:val="0"/>
          <w:numId w:val="2"/>
        </w:numPr>
        <w:spacing w:line="240" w:lineRule="auto"/>
        <w:ind w:left="285" w:leftChars="0"/>
        <w:rPr>
          <w:rFonts w:ascii="宋体" w:hAnsi="宋体"/>
        </w:rPr>
      </w:pPr>
      <w:r>
        <w:rPr>
          <w:rFonts w:hint="eastAsia" w:ascii="宋体" w:hAnsi="宋体"/>
        </w:rPr>
        <w:t>合格的投标人应具有圆满履行合同的能力，具体应符合下列条件：</w:t>
      </w:r>
    </w:p>
    <w:p>
      <w:pPr>
        <w:numPr>
          <w:ilvl w:val="0"/>
          <w:numId w:val="3"/>
        </w:numPr>
        <w:tabs>
          <w:tab w:val="left" w:pos="1125"/>
        </w:tabs>
        <w:spacing w:line="240" w:lineRule="auto"/>
        <w:ind w:left="1265" w:leftChars="0" w:hanging="425" w:firstLineChars="0"/>
        <w:rPr>
          <w:rFonts w:ascii="宋体" w:hAnsi="宋体"/>
        </w:rPr>
      </w:pPr>
      <w:r>
        <w:rPr>
          <w:rFonts w:hint="eastAsia" w:ascii="宋体" w:hAnsi="宋体"/>
        </w:rPr>
        <w:t>具有独立订立合同的权利。</w:t>
      </w:r>
    </w:p>
    <w:p>
      <w:pPr>
        <w:numPr>
          <w:ilvl w:val="0"/>
          <w:numId w:val="3"/>
        </w:numPr>
        <w:tabs>
          <w:tab w:val="left" w:pos="1125"/>
        </w:tabs>
        <w:spacing w:line="240" w:lineRule="auto"/>
        <w:ind w:left="1265" w:leftChars="0" w:hanging="425" w:firstLineChars="0"/>
        <w:jc w:val="left"/>
        <w:rPr>
          <w:rFonts w:ascii="宋体" w:hAnsi="宋体"/>
        </w:rPr>
      </w:pPr>
      <w:r>
        <w:rPr>
          <w:rFonts w:hint="eastAsia" w:ascii="宋体" w:hAnsi="宋体"/>
        </w:rPr>
        <w:t>必须有相应商贸材料供应及相应的安装、维修能力和一定垫资能力。。</w:t>
      </w:r>
    </w:p>
    <w:p>
      <w:pPr>
        <w:numPr>
          <w:ilvl w:val="0"/>
          <w:numId w:val="3"/>
        </w:numPr>
        <w:tabs>
          <w:tab w:val="left" w:pos="1125"/>
        </w:tabs>
        <w:spacing w:line="240" w:lineRule="auto"/>
        <w:ind w:left="1265" w:leftChars="0" w:hanging="425" w:firstLineChars="0"/>
        <w:rPr>
          <w:rFonts w:hint="eastAsia" w:ascii="宋体" w:hAnsi="宋体"/>
          <w:color w:val="FF0000"/>
        </w:rPr>
      </w:pPr>
      <w:r>
        <w:rPr>
          <w:rFonts w:hint="eastAsia" w:ascii="宋体" w:hAnsi="宋体"/>
        </w:rPr>
        <w:t>必须有</w:t>
      </w:r>
      <w:r>
        <w:rPr>
          <w:rFonts w:hint="eastAsia" w:ascii="宋体" w:hAnsi="宋体"/>
          <w:lang w:val="en-US" w:eastAsia="zh-CN"/>
        </w:rPr>
        <w:t>合同履约</w:t>
      </w:r>
      <w:r>
        <w:rPr>
          <w:rFonts w:hint="eastAsia" w:ascii="宋体" w:hAnsi="宋体"/>
        </w:rPr>
        <w:t>能力。</w:t>
      </w:r>
    </w:p>
    <w:p>
      <w:pPr>
        <w:numPr>
          <w:ilvl w:val="0"/>
          <w:numId w:val="3"/>
        </w:numPr>
        <w:tabs>
          <w:tab w:val="left" w:pos="1125"/>
        </w:tabs>
        <w:spacing w:line="240" w:lineRule="auto"/>
        <w:ind w:left="1265" w:leftChars="0" w:hanging="425" w:firstLineChars="0"/>
        <w:rPr>
          <w:rFonts w:ascii="宋体" w:hAnsi="宋体"/>
        </w:rPr>
      </w:pPr>
      <w:r>
        <w:rPr>
          <w:rFonts w:hint="eastAsia" w:ascii="宋体" w:hAnsi="宋体"/>
        </w:rPr>
        <w:t>具有</w:t>
      </w:r>
      <w:r>
        <w:rPr>
          <w:rFonts w:ascii="宋体" w:hAnsi="宋体"/>
        </w:rPr>
        <w:t>法律、法规</w:t>
      </w:r>
      <w:r>
        <w:rPr>
          <w:rFonts w:hint="eastAsia" w:ascii="宋体" w:hAnsi="宋体"/>
        </w:rPr>
        <w:t>和招标人</w:t>
      </w:r>
      <w:r>
        <w:rPr>
          <w:rFonts w:ascii="宋体" w:hAnsi="宋体"/>
        </w:rPr>
        <w:t>规定的其他条件</w:t>
      </w:r>
      <w:r>
        <w:rPr>
          <w:rFonts w:hint="eastAsia" w:ascii="宋体" w:hAnsi="宋体"/>
        </w:rPr>
        <w:t>。</w:t>
      </w:r>
    </w:p>
    <w:p>
      <w:pPr>
        <w:numPr>
          <w:ilvl w:val="0"/>
          <w:numId w:val="2"/>
        </w:numPr>
        <w:spacing w:line="240" w:lineRule="auto"/>
        <w:ind w:left="285" w:leftChars="0" w:firstLine="0" w:firstLineChars="0"/>
        <w:rPr>
          <w:rFonts w:hint="eastAsia" w:ascii="宋体" w:hAnsi="宋体"/>
        </w:rPr>
      </w:pPr>
      <w:r>
        <w:rPr>
          <w:rFonts w:hint="eastAsia" w:ascii="宋体" w:hAnsi="宋体"/>
        </w:rPr>
        <w:t>投标人</w:t>
      </w:r>
      <w:r>
        <w:rPr>
          <w:rFonts w:hint="eastAsia" w:ascii="宋体" w:hAnsi="宋体" w:cs="宋体"/>
        </w:rPr>
        <w:t>应</w:t>
      </w:r>
      <w:r>
        <w:rPr>
          <w:rFonts w:hint="eastAsia" w:ascii="宋体" w:hAnsi="宋体"/>
        </w:rPr>
        <w:t>提供下列文件和资料：</w:t>
      </w:r>
    </w:p>
    <w:p>
      <w:pPr>
        <w:numPr>
          <w:ilvl w:val="0"/>
          <w:numId w:val="4"/>
        </w:numPr>
        <w:spacing w:line="240" w:lineRule="auto"/>
        <w:rPr>
          <w:rFonts w:hint="eastAsia" w:ascii="宋体" w:hAnsi="宋体"/>
        </w:rPr>
      </w:pPr>
      <w:r>
        <w:rPr>
          <w:rFonts w:hint="eastAsia" w:ascii="宋体" w:hAnsi="宋体"/>
        </w:rPr>
        <w:t>商务文件：</w:t>
      </w:r>
    </w:p>
    <w:p>
      <w:pPr>
        <w:numPr>
          <w:ilvl w:val="0"/>
          <w:numId w:val="5"/>
        </w:numPr>
        <w:spacing w:line="240" w:lineRule="auto"/>
        <w:ind w:firstLine="120"/>
        <w:rPr>
          <w:rFonts w:hint="eastAsia" w:ascii="宋体" w:hAnsi="宋体"/>
        </w:rPr>
      </w:pPr>
      <w:r>
        <w:rPr>
          <w:rFonts w:hint="eastAsia" w:ascii="宋体" w:hAnsi="宋体"/>
        </w:rPr>
        <w:t>投标人法定代表人授权书及授权代表身份证复印件。</w:t>
      </w:r>
    </w:p>
    <w:p>
      <w:pPr>
        <w:numPr>
          <w:ilvl w:val="0"/>
          <w:numId w:val="5"/>
        </w:numPr>
        <w:spacing w:line="240" w:lineRule="auto"/>
        <w:ind w:firstLine="120"/>
        <w:rPr>
          <w:rFonts w:ascii="宋体" w:hAnsi="宋体"/>
        </w:rPr>
      </w:pPr>
      <w:r>
        <w:rPr>
          <w:rFonts w:hint="eastAsia" w:ascii="宋体" w:hAnsi="宋体"/>
        </w:rPr>
        <w:t>企业法人营业执照及质量、环境、职业安全体系认证等。</w:t>
      </w:r>
    </w:p>
    <w:p>
      <w:pPr>
        <w:numPr>
          <w:ilvl w:val="0"/>
          <w:numId w:val="5"/>
        </w:numPr>
        <w:spacing w:line="240" w:lineRule="auto"/>
        <w:ind w:firstLine="120"/>
        <w:rPr>
          <w:rFonts w:hint="eastAsia" w:ascii="宋体" w:hAnsi="宋体"/>
        </w:rPr>
      </w:pPr>
      <w:r>
        <w:rPr>
          <w:rFonts w:hint="eastAsia" w:ascii="宋体" w:hAnsi="宋体"/>
        </w:rPr>
        <w:t>生产许可证、行业许可证、有关的鉴定材料等。</w:t>
      </w:r>
    </w:p>
    <w:p>
      <w:pPr>
        <w:numPr>
          <w:ilvl w:val="0"/>
          <w:numId w:val="5"/>
        </w:numPr>
        <w:spacing w:line="240" w:lineRule="auto"/>
        <w:ind w:firstLine="120"/>
        <w:rPr>
          <w:rFonts w:hint="eastAsia" w:ascii="宋体" w:hAnsi="宋体"/>
        </w:rPr>
      </w:pPr>
      <w:r>
        <w:rPr>
          <w:rFonts w:hint="eastAsia" w:ascii="宋体" w:hAnsi="宋体"/>
        </w:rPr>
        <w:t>近几年内与此项目相关的业绩合同。</w:t>
      </w:r>
    </w:p>
    <w:p>
      <w:pPr>
        <w:numPr>
          <w:ilvl w:val="0"/>
          <w:numId w:val="5"/>
        </w:numPr>
        <w:spacing w:line="240" w:lineRule="auto"/>
        <w:ind w:firstLine="120"/>
        <w:rPr>
          <w:rFonts w:hint="eastAsia" w:ascii="宋体" w:hAnsi="宋体"/>
        </w:rPr>
      </w:pPr>
      <w:r>
        <w:rPr>
          <w:rFonts w:hint="eastAsia" w:ascii="宋体" w:hAnsi="宋体"/>
        </w:rPr>
        <w:t>投标有效期。</w:t>
      </w:r>
    </w:p>
    <w:p>
      <w:pPr>
        <w:numPr>
          <w:ilvl w:val="0"/>
          <w:numId w:val="5"/>
        </w:numPr>
        <w:spacing w:line="240" w:lineRule="auto"/>
        <w:ind w:firstLine="120"/>
        <w:rPr>
          <w:rFonts w:hint="eastAsia" w:ascii="宋体" w:hAnsi="宋体"/>
          <w:bCs/>
        </w:rPr>
      </w:pPr>
      <w:r>
        <w:rPr>
          <w:rFonts w:hint="eastAsia" w:ascii="宋体" w:hAnsi="宋体"/>
          <w:bCs/>
        </w:rPr>
        <w:t>投标项目的具体明细（不含报价）。</w:t>
      </w:r>
    </w:p>
    <w:p>
      <w:pPr>
        <w:numPr>
          <w:ilvl w:val="0"/>
          <w:numId w:val="5"/>
        </w:numPr>
        <w:spacing w:line="240" w:lineRule="auto"/>
        <w:ind w:firstLine="120"/>
        <w:rPr>
          <w:rFonts w:ascii="宋体" w:hAnsi="宋体"/>
          <w:bCs/>
        </w:rPr>
      </w:pPr>
      <w:r>
        <w:rPr>
          <w:rFonts w:hint="eastAsia" w:ascii="宋体" w:hAnsi="宋体"/>
          <w:bCs/>
        </w:rPr>
        <w:t>联合体投标人提供的联合协议。</w:t>
      </w:r>
    </w:p>
    <w:p>
      <w:pPr>
        <w:numPr>
          <w:ilvl w:val="0"/>
          <w:numId w:val="4"/>
        </w:numPr>
        <w:spacing w:line="240" w:lineRule="auto"/>
        <w:rPr>
          <w:rFonts w:hint="eastAsia" w:ascii="宋体" w:hAnsi="宋体"/>
          <w:bCs/>
        </w:rPr>
      </w:pPr>
      <w:r>
        <w:rPr>
          <w:rFonts w:hint="eastAsia" w:ascii="宋体" w:hAnsi="宋体"/>
          <w:bCs/>
        </w:rPr>
        <w:t>技术文件：包括投标方案及其说明等。</w:t>
      </w:r>
    </w:p>
    <w:p>
      <w:pPr>
        <w:numPr>
          <w:ilvl w:val="0"/>
          <w:numId w:val="4"/>
        </w:numPr>
        <w:spacing w:line="240" w:lineRule="auto"/>
        <w:rPr>
          <w:rFonts w:ascii="宋体" w:hAnsi="宋体"/>
          <w:bCs/>
        </w:rPr>
      </w:pPr>
      <w:r>
        <w:rPr>
          <w:rFonts w:hint="eastAsia" w:ascii="宋体" w:hAnsi="宋体"/>
          <w:bCs/>
        </w:rPr>
        <w:t>价格文件：一份即可，必须单独密封。投标人必须填写投标报价表，设备价格为含税到厂价，并注明税率。</w:t>
      </w:r>
    </w:p>
    <w:p>
      <w:pPr>
        <w:numPr>
          <w:ilvl w:val="0"/>
          <w:numId w:val="4"/>
        </w:numPr>
        <w:spacing w:line="240" w:lineRule="auto"/>
        <w:ind w:left="1123" w:hanging="703"/>
        <w:rPr>
          <w:rFonts w:ascii="宋体" w:hAnsi="宋体"/>
        </w:rPr>
      </w:pPr>
      <w:r>
        <w:rPr>
          <w:rFonts w:hint="eastAsia" w:ascii="宋体" w:hAnsi="宋体"/>
          <w:bCs/>
        </w:rPr>
        <w:t>其它文件：包括</w:t>
      </w:r>
      <w:r>
        <w:rPr>
          <w:rFonts w:hint="eastAsia" w:ascii="宋体" w:hAnsi="宋体"/>
        </w:rPr>
        <w:t>商务、技术偏差表或不满足招标文件的差异说明，招标文件要求具备的其他内容，以及投标人额外承诺或补充说明等。对所安装的设备提供土建条件相关资料。</w:t>
      </w:r>
    </w:p>
    <w:p>
      <w:pPr>
        <w:spacing w:line="240" w:lineRule="auto"/>
        <w:rPr>
          <w:rFonts w:ascii="宋体" w:hAnsi="宋体"/>
          <w:b/>
        </w:rPr>
      </w:pPr>
      <w:r>
        <w:rPr>
          <w:rFonts w:hint="eastAsia" w:ascii="宋体" w:hAnsi="宋体"/>
          <w:b/>
        </w:rPr>
        <w:t>五、投标费用</w:t>
      </w:r>
    </w:p>
    <w:p>
      <w:pPr>
        <w:spacing w:line="240" w:lineRule="auto"/>
        <w:ind w:left="480" w:leftChars="200" w:firstLine="480" w:firstLineChars="200"/>
        <w:rPr>
          <w:rFonts w:hint="eastAsia" w:ascii="宋体" w:hAnsi="宋体"/>
        </w:rPr>
      </w:pPr>
      <w:r>
        <w:rPr>
          <w:rFonts w:hint="eastAsia" w:ascii="宋体" w:hAnsi="宋体"/>
        </w:rPr>
        <w:t>无论投标过程中的做法和结果如何，投标人承担所有与准备递交投标文件有关的费用，芜湖新兴铸管有限责任公司在任何情况下不负担这些费用。</w:t>
      </w:r>
    </w:p>
    <w:p>
      <w:pPr>
        <w:spacing w:line="240" w:lineRule="auto"/>
        <w:rPr>
          <w:rFonts w:ascii="宋体" w:hAnsi="宋体"/>
          <w:b/>
        </w:rPr>
      </w:pPr>
      <w:r>
        <w:rPr>
          <w:rFonts w:hint="eastAsia" w:ascii="宋体" w:hAnsi="宋体"/>
          <w:b/>
        </w:rPr>
        <w:t>六、投标人建议</w:t>
      </w:r>
    </w:p>
    <w:p>
      <w:pPr>
        <w:spacing w:line="240" w:lineRule="auto"/>
        <w:ind w:left="480" w:firstLine="480" w:firstLineChars="200"/>
        <w:rPr>
          <w:rFonts w:ascii="宋体" w:hAnsi="宋体"/>
        </w:rPr>
      </w:pPr>
      <w:r>
        <w:rPr>
          <w:rFonts w:hint="eastAsia" w:ascii="宋体" w:hAnsi="宋体"/>
        </w:rPr>
        <w:t>投标人可提出补充建议或说明，提出比招标文件的要求更为合理的方案。</w:t>
      </w:r>
    </w:p>
    <w:p>
      <w:pPr>
        <w:spacing w:line="240" w:lineRule="auto"/>
        <w:rPr>
          <w:rFonts w:hint="eastAsia" w:ascii="宋体" w:hAnsi="宋体"/>
          <w:b/>
        </w:rPr>
      </w:pPr>
      <w:r>
        <w:rPr>
          <w:rFonts w:hint="eastAsia" w:ascii="宋体" w:hAnsi="宋体"/>
          <w:b/>
        </w:rPr>
        <w:t>七、投标文件的份数和签署</w:t>
      </w:r>
    </w:p>
    <w:p>
      <w:pPr>
        <w:numPr>
          <w:ilvl w:val="0"/>
          <w:numId w:val="6"/>
        </w:numPr>
        <w:spacing w:line="240" w:lineRule="auto"/>
        <w:ind w:left="0" w:leftChars="0" w:firstLine="480" w:firstLineChars="200"/>
        <w:rPr>
          <w:rFonts w:ascii="宋体" w:hAnsi="宋体"/>
          <w:bCs/>
        </w:rPr>
      </w:pPr>
      <w:r>
        <w:rPr>
          <w:rFonts w:hint="eastAsia" w:ascii="宋体" w:hAnsi="宋体"/>
        </w:rPr>
        <w:t>标书</w:t>
      </w:r>
      <w:r>
        <w:rPr>
          <w:rFonts w:ascii="宋体" w:hAnsi="宋体"/>
        </w:rPr>
        <w:t>一式</w:t>
      </w:r>
      <w:r>
        <w:rPr>
          <w:rFonts w:hint="eastAsia" w:ascii="宋体" w:hAnsi="宋体"/>
        </w:rPr>
        <w:t>四</w:t>
      </w:r>
      <w:r>
        <w:rPr>
          <w:rFonts w:ascii="宋体" w:hAnsi="宋体"/>
        </w:rPr>
        <w:t>份，正本一份，副本</w:t>
      </w:r>
      <w:r>
        <w:rPr>
          <w:rFonts w:hint="eastAsia" w:ascii="宋体" w:hAnsi="宋体"/>
        </w:rPr>
        <w:t>三</w:t>
      </w:r>
      <w:r>
        <w:rPr>
          <w:rFonts w:ascii="宋体" w:hAnsi="宋体"/>
        </w:rPr>
        <w:t>份</w:t>
      </w:r>
      <w:r>
        <w:rPr>
          <w:rFonts w:hint="eastAsia" w:ascii="宋体" w:hAnsi="宋体"/>
          <w:bCs/>
        </w:rPr>
        <w:t>，价格文件：一份即可，必须单独密封。</w:t>
      </w:r>
    </w:p>
    <w:p>
      <w:pPr>
        <w:numPr>
          <w:ilvl w:val="0"/>
          <w:numId w:val="6"/>
        </w:numPr>
        <w:spacing w:line="240" w:lineRule="auto"/>
        <w:ind w:left="0" w:leftChars="0" w:firstLine="480" w:firstLineChars="200"/>
        <w:rPr>
          <w:rFonts w:hint="eastAsia" w:ascii="宋体" w:hAnsi="宋体"/>
        </w:rPr>
      </w:pPr>
      <w:r>
        <w:rPr>
          <w:rFonts w:hint="eastAsia" w:ascii="宋体" w:hAnsi="宋体"/>
        </w:rPr>
        <w:t>标书、</w:t>
      </w:r>
      <w:r>
        <w:rPr>
          <w:rFonts w:ascii="宋体" w:hAnsi="宋体"/>
        </w:rPr>
        <w:t>报价表均加盖公章。</w:t>
      </w:r>
    </w:p>
    <w:p>
      <w:pPr>
        <w:spacing w:line="240" w:lineRule="auto"/>
        <w:rPr>
          <w:rFonts w:hint="eastAsia" w:ascii="宋体" w:hAnsi="宋体"/>
          <w:b/>
        </w:rPr>
      </w:pPr>
      <w:r>
        <w:rPr>
          <w:rFonts w:hint="eastAsia" w:ascii="宋体" w:hAnsi="宋体"/>
          <w:b/>
        </w:rPr>
        <w:t>八、投标报价</w:t>
      </w:r>
    </w:p>
    <w:p>
      <w:pPr>
        <w:pStyle w:val="6"/>
        <w:numPr>
          <w:ilvl w:val="0"/>
          <w:numId w:val="7"/>
        </w:numPr>
        <w:spacing w:line="240" w:lineRule="auto"/>
        <w:ind w:left="0" w:leftChars="0" w:firstLine="480" w:firstLineChars="200"/>
        <w:rPr>
          <w:rFonts w:hint="eastAsia" w:ascii="宋体" w:hAnsi="宋体"/>
          <w:b/>
          <w:bCs/>
        </w:rPr>
      </w:pPr>
      <w:r>
        <w:rPr>
          <w:rFonts w:ascii="宋体" w:hAnsi="宋体"/>
        </w:rPr>
        <w:t>投标人应严格按照招标文件提供的格式认真填写价格表。</w:t>
      </w:r>
    </w:p>
    <w:p>
      <w:pPr>
        <w:pStyle w:val="6"/>
        <w:numPr>
          <w:ilvl w:val="0"/>
          <w:numId w:val="7"/>
        </w:numPr>
        <w:spacing w:line="240" w:lineRule="auto"/>
        <w:ind w:left="0" w:leftChars="0" w:firstLine="480" w:firstLineChars="200"/>
        <w:rPr>
          <w:rFonts w:hint="eastAsia" w:ascii="宋体" w:hAnsi="宋体"/>
          <w:b/>
          <w:bCs/>
          <w:color w:val="FF0000"/>
        </w:rPr>
      </w:pPr>
      <w:r>
        <w:t>若单</w:t>
      </w:r>
      <w:r>
        <w:rPr>
          <w:rFonts w:ascii="宋体" w:hAnsi="宋体"/>
        </w:rPr>
        <w:t>价</w:t>
      </w:r>
      <w:r>
        <w:rPr>
          <w:rFonts w:hint="eastAsia" w:ascii="宋体" w:hAnsi="宋体"/>
        </w:rPr>
        <w:t>（含分项报价）</w:t>
      </w:r>
      <w:r>
        <w:rPr>
          <w:rFonts w:ascii="宋体" w:hAnsi="宋体"/>
        </w:rPr>
        <w:t>和总价有差异，则以单价</w:t>
      </w:r>
      <w:r>
        <w:rPr>
          <w:rFonts w:hint="eastAsia" w:ascii="宋体" w:hAnsi="宋体"/>
        </w:rPr>
        <w:t>（含分项报价）</w:t>
      </w:r>
      <w:r>
        <w:rPr>
          <w:rFonts w:ascii="宋体" w:hAnsi="宋体"/>
        </w:rPr>
        <w:t>为准，并对总价进行修正；若数字和文字表示的金额之间有差</w:t>
      </w:r>
      <w:r>
        <w:t>异，则以文字金额为准，并对数字做相应的修正；若正本与副本有差异，则以正本为准。</w:t>
      </w:r>
    </w:p>
    <w:p>
      <w:pPr>
        <w:spacing w:line="240" w:lineRule="auto"/>
        <w:rPr>
          <w:rFonts w:ascii="宋体" w:hAnsi="宋体"/>
          <w:b/>
        </w:rPr>
      </w:pPr>
      <w:r>
        <w:rPr>
          <w:rFonts w:hint="eastAsia" w:ascii="宋体" w:hAnsi="宋体"/>
          <w:b/>
        </w:rPr>
        <w:t>九、投标文件的递交</w:t>
      </w:r>
    </w:p>
    <w:p>
      <w:pPr>
        <w:numPr>
          <w:ilvl w:val="0"/>
          <w:numId w:val="8"/>
        </w:numPr>
        <w:spacing w:line="240" w:lineRule="auto"/>
        <w:ind w:left="0" w:leftChars="0" w:firstLine="480" w:firstLineChars="200"/>
        <w:rPr>
          <w:rFonts w:ascii="宋体" w:hAnsi="宋体"/>
          <w:kern w:val="0"/>
        </w:rPr>
      </w:pPr>
      <w:r>
        <w:rPr>
          <w:rFonts w:ascii="宋体" w:hAnsi="宋体"/>
          <w:kern w:val="0"/>
        </w:rPr>
        <w:t>投标文件有密封与标记</w:t>
      </w:r>
    </w:p>
    <w:p>
      <w:pPr>
        <w:widowControl/>
        <w:numPr>
          <w:ilvl w:val="0"/>
          <w:numId w:val="8"/>
        </w:numPr>
        <w:tabs>
          <w:tab w:val="left" w:pos="360"/>
          <w:tab w:val="left" w:pos="720"/>
          <w:tab w:val="left" w:pos="1050"/>
        </w:tabs>
        <w:spacing w:line="240" w:lineRule="auto"/>
        <w:ind w:left="0" w:leftChars="0" w:firstLine="480" w:firstLineChars="200"/>
        <w:jc w:val="left"/>
        <w:rPr>
          <w:rFonts w:hint="eastAsia" w:ascii="宋体" w:hAnsi="宋体"/>
          <w:kern w:val="0"/>
        </w:rPr>
      </w:pPr>
      <w:r>
        <w:rPr>
          <w:rFonts w:ascii="宋体" w:hAnsi="宋体"/>
          <w:kern w:val="0"/>
        </w:rPr>
        <w:t>投标文件的每份正本、副本均应用档案袋分别密封，密封上应加盖投标人公章。</w:t>
      </w:r>
    </w:p>
    <w:p>
      <w:pPr>
        <w:widowControl/>
        <w:numPr>
          <w:ilvl w:val="0"/>
          <w:numId w:val="8"/>
        </w:numPr>
        <w:spacing w:line="240" w:lineRule="auto"/>
        <w:ind w:left="0" w:leftChars="0" w:firstLine="480" w:firstLineChars="200"/>
        <w:jc w:val="left"/>
        <w:rPr>
          <w:rFonts w:hint="eastAsia" w:ascii="宋体" w:hAnsi="宋体"/>
          <w:kern w:val="0"/>
        </w:rPr>
      </w:pPr>
      <w:r>
        <w:rPr>
          <w:rFonts w:ascii="宋体" w:hAnsi="宋体"/>
          <w:kern w:val="0"/>
        </w:rPr>
        <w:t>投标商</w:t>
      </w:r>
      <w:r>
        <w:rPr>
          <w:rFonts w:hint="eastAsia" w:ascii="宋体" w:hAnsi="宋体"/>
          <w:kern w:val="0"/>
        </w:rPr>
        <w:t>应在开标前将投标文件送达到指定地点，逾期未到的都将视为弃权。如因特殊客观原因，投标人应于开标前告知招标人，并得到其同意者除外。</w:t>
      </w:r>
    </w:p>
    <w:p>
      <w:pPr>
        <w:widowControl/>
        <w:numPr>
          <w:ilvl w:val="0"/>
          <w:numId w:val="8"/>
        </w:numPr>
        <w:spacing w:line="240" w:lineRule="auto"/>
        <w:ind w:left="0" w:leftChars="0" w:firstLine="480" w:firstLineChars="200"/>
        <w:jc w:val="left"/>
        <w:rPr>
          <w:rFonts w:hint="eastAsia" w:ascii="宋体" w:hAnsi="宋体"/>
          <w:kern w:val="0"/>
        </w:rPr>
      </w:pPr>
      <w:r>
        <w:rPr>
          <w:rFonts w:hint="eastAsia" w:ascii="宋体" w:hAnsi="宋体"/>
          <w:kern w:val="0"/>
        </w:rPr>
        <w:t>投标人不得在开标当日至投标有效期满前撤回投标文件，否则其投标保证金将不予退还。</w:t>
      </w:r>
    </w:p>
    <w:p>
      <w:pPr>
        <w:tabs>
          <w:tab w:val="left" w:pos="735"/>
        </w:tabs>
        <w:spacing w:line="240" w:lineRule="auto"/>
        <w:rPr>
          <w:rFonts w:ascii="宋体" w:hAnsi="宋体"/>
          <w:b/>
        </w:rPr>
      </w:pPr>
      <w:r>
        <w:rPr>
          <w:rFonts w:hint="eastAsia" w:ascii="宋体" w:hAnsi="宋体"/>
          <w:b/>
        </w:rPr>
        <w:t>十、无效投标</w:t>
      </w:r>
    </w:p>
    <w:p>
      <w:pPr>
        <w:tabs>
          <w:tab w:val="left" w:pos="735"/>
        </w:tabs>
        <w:spacing w:line="240" w:lineRule="auto"/>
        <w:ind w:firstLine="480" w:firstLineChars="200"/>
        <w:rPr>
          <w:rFonts w:hint="eastAsia" w:ascii="宋体" w:hAnsi="宋体"/>
          <w:kern w:val="0"/>
        </w:rPr>
      </w:pPr>
      <w:r>
        <w:rPr>
          <w:rFonts w:hint="eastAsia" w:ascii="宋体" w:hAnsi="宋体"/>
          <w:kern w:val="0"/>
        </w:rPr>
        <w:t>发生下列情况之一者，视为无效投标。</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投标文件未按规定加盖公章和签字。</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投标文件字迹模糊、无法辨认影响评标的。</w:t>
      </w:r>
    </w:p>
    <w:p>
      <w:pPr>
        <w:widowControl/>
        <w:numPr>
          <w:ilvl w:val="0"/>
          <w:numId w:val="9"/>
        </w:numPr>
        <w:spacing w:line="240" w:lineRule="auto"/>
        <w:ind w:left="0" w:firstLine="480" w:firstLineChars="200"/>
        <w:jc w:val="left"/>
        <w:rPr>
          <w:rFonts w:ascii="宋体" w:hAnsi="宋体"/>
          <w:bCs/>
          <w:kern w:val="0"/>
        </w:rPr>
      </w:pPr>
      <w:r>
        <w:rPr>
          <w:rFonts w:hint="eastAsia" w:ascii="宋体" w:hAnsi="宋体"/>
          <w:bCs/>
          <w:kern w:val="0"/>
        </w:rPr>
        <w:t>授权委托书未加盖单位公章和法定代表人印章（或签字）的。</w:t>
      </w:r>
    </w:p>
    <w:p>
      <w:pPr>
        <w:widowControl/>
        <w:numPr>
          <w:ilvl w:val="0"/>
          <w:numId w:val="9"/>
        </w:numPr>
        <w:spacing w:line="240" w:lineRule="auto"/>
        <w:ind w:left="0" w:firstLine="480" w:firstLineChars="200"/>
        <w:jc w:val="left"/>
        <w:rPr>
          <w:rFonts w:ascii="宋体" w:hAnsi="宋体"/>
          <w:bCs/>
          <w:kern w:val="0"/>
        </w:rPr>
      </w:pPr>
      <w:r>
        <w:rPr>
          <w:rFonts w:hint="eastAsia"/>
          <w:kern w:val="0"/>
        </w:rPr>
        <w:t>投标人以任何形式干扰招投标工作公开、公正进行的。</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投标人企业资质不全或无资质的。</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附有招标人不能接受的条件的。</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在投标文件中有两个以上的报价，且未明确哪个报价有效。</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以联合体方式投标而无共同投标协议的。</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以他人名义投标的。</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未按招标文件要求提交投标保证金的。</w:t>
      </w:r>
    </w:p>
    <w:p>
      <w:pPr>
        <w:widowControl/>
        <w:numPr>
          <w:ilvl w:val="0"/>
          <w:numId w:val="9"/>
        </w:numPr>
        <w:spacing w:line="240" w:lineRule="auto"/>
        <w:ind w:left="0" w:firstLine="480" w:firstLineChars="200"/>
        <w:jc w:val="left"/>
        <w:rPr>
          <w:rFonts w:hint="eastAsia" w:ascii="宋体" w:hAnsi="宋体"/>
          <w:bCs/>
          <w:kern w:val="0"/>
        </w:rPr>
      </w:pPr>
      <w:r>
        <w:rPr>
          <w:rFonts w:hint="eastAsia" w:ascii="宋体" w:hAnsi="宋体"/>
          <w:bCs/>
          <w:kern w:val="0"/>
        </w:rPr>
        <w:t>投标人串通投标、弄虚作假或者以行贿、欺骗等不正当手段谋取中标的。</w:t>
      </w:r>
    </w:p>
    <w:p>
      <w:pPr>
        <w:widowControl/>
        <w:numPr>
          <w:ilvl w:val="0"/>
          <w:numId w:val="9"/>
        </w:numPr>
        <w:spacing w:line="240" w:lineRule="auto"/>
        <w:ind w:left="0" w:firstLine="480" w:firstLineChars="200"/>
        <w:jc w:val="left"/>
        <w:rPr>
          <w:rFonts w:ascii="宋体" w:hAnsi="宋体"/>
          <w:b w:val="0"/>
          <w:bCs/>
        </w:rPr>
      </w:pPr>
      <w:r>
        <w:rPr>
          <w:rFonts w:hint="eastAsia" w:ascii="宋体" w:hAnsi="宋体"/>
          <w:b w:val="0"/>
          <w:bCs/>
          <w:kern w:val="0"/>
        </w:rPr>
        <w:t>投标文件与招标文件存在严重背离等其他问题的。</w:t>
      </w:r>
    </w:p>
    <w:p>
      <w:pPr>
        <w:spacing w:line="240" w:lineRule="auto"/>
        <w:rPr>
          <w:rFonts w:hint="eastAsia" w:ascii="宋体" w:hAnsi="宋体" w:eastAsia="宋体"/>
          <w:b/>
          <w:lang w:eastAsia="zh-CN"/>
        </w:rPr>
      </w:pPr>
      <w:r>
        <w:rPr>
          <w:rFonts w:hint="eastAsia" w:ascii="宋体" w:hAnsi="宋体"/>
          <w:b/>
        </w:rPr>
        <w:t>十一、</w:t>
      </w:r>
      <w:r>
        <w:rPr>
          <w:rFonts w:hint="eastAsia" w:ascii="宋体" w:hAnsi="宋体"/>
          <w:b/>
          <w:lang w:val="en-US" w:eastAsia="zh-CN"/>
        </w:rPr>
        <w:t>结算及付款方式：</w:t>
      </w:r>
    </w:p>
    <w:p>
      <w:pPr>
        <w:numPr>
          <w:ilvl w:val="0"/>
          <w:numId w:val="0"/>
        </w:numPr>
        <w:spacing w:line="240" w:lineRule="auto"/>
        <w:ind w:leftChars="200"/>
        <w:rPr>
          <w:rFonts w:hint="eastAsia" w:ascii="宋体" w:hAnsi="宋体" w:eastAsia="宋体"/>
          <w:b/>
          <w:lang w:eastAsia="zh-CN"/>
        </w:rPr>
      </w:pPr>
      <w:r>
        <w:rPr>
          <w:rFonts w:hint="eastAsia" w:ascii="宋体" w:hAnsi="宋体"/>
        </w:rPr>
        <w:t>该业务的付款方式为次月付款，即：每月25日将该月所发生材料费以清单形式上报后勤部并附增值税发票，设备中心在次月1日前进行公司内部审核，并报资金计划，计划通过后于次月15日付款（付款方式：电汇）</w:t>
      </w:r>
      <w:r>
        <w:rPr>
          <w:rFonts w:hint="eastAsia" w:ascii="宋体" w:hAnsi="宋体"/>
          <w:lang w:eastAsia="zh-CN"/>
        </w:rPr>
        <w:t>。</w:t>
      </w:r>
    </w:p>
    <w:p>
      <w:pPr>
        <w:numPr>
          <w:ilvl w:val="0"/>
          <w:numId w:val="0"/>
        </w:numPr>
        <w:spacing w:line="240" w:lineRule="auto"/>
        <w:rPr>
          <w:rFonts w:hint="eastAsia" w:ascii="宋体" w:hAnsi="宋体"/>
          <w:b/>
        </w:rPr>
      </w:pPr>
      <w:r>
        <w:rPr>
          <w:rFonts w:hint="eastAsia" w:ascii="宋体" w:hAnsi="宋体"/>
          <w:b/>
        </w:rPr>
        <w:t>十二、评标标准</w:t>
      </w:r>
    </w:p>
    <w:p>
      <w:pPr>
        <w:spacing w:line="240" w:lineRule="auto"/>
        <w:ind w:left="730" w:leftChars="304"/>
        <w:rPr>
          <w:rFonts w:hint="eastAsia" w:ascii="宋体" w:hAnsi="宋体" w:cs="宋体"/>
        </w:rPr>
      </w:pPr>
      <w:r>
        <w:rPr>
          <w:rFonts w:hint="eastAsia" w:ascii="宋体" w:hAnsi="宋体" w:cs="宋体"/>
        </w:rPr>
        <w:t>本次采取综合评分方式进行评标。</w:t>
      </w:r>
    </w:p>
    <w:p>
      <w:pPr>
        <w:spacing w:line="240" w:lineRule="auto"/>
        <w:ind w:left="730" w:leftChars="304"/>
        <w:rPr>
          <w:rFonts w:hint="eastAsia" w:ascii="宋体" w:hAnsi="宋体" w:eastAsia="宋体" w:cs="宋体"/>
          <w:color w:val="auto"/>
          <w:sz w:val="24"/>
          <w:szCs w:val="24"/>
        </w:rPr>
      </w:pPr>
      <w:r>
        <w:rPr>
          <w:rFonts w:hint="eastAsia" w:ascii="宋体" w:hAnsi="宋体" w:eastAsia="宋体" w:cs="宋体"/>
          <w:color w:val="auto"/>
          <w:sz w:val="24"/>
          <w:szCs w:val="24"/>
        </w:rPr>
        <w:t>由评标委员会评分，按分数从高到低顺序推荐中标候选单位。</w:t>
      </w:r>
    </w:p>
    <w:p>
      <w:pPr>
        <w:spacing w:line="240" w:lineRule="auto"/>
        <w:ind w:left="730" w:leftChars="304"/>
        <w:rPr>
          <w:b/>
        </w:rPr>
      </w:pPr>
      <w:r>
        <w:rPr>
          <w:rFonts w:hint="eastAsia" w:ascii="宋体" w:hAnsi="宋体" w:cs="宋体"/>
          <w:color w:val="auto"/>
          <w:sz w:val="24"/>
          <w:szCs w:val="24"/>
          <w:lang w:val="en-US" w:eastAsia="zh-CN"/>
        </w:rPr>
        <w:t>评分标准：价格50分，质量30分；资质、装备及工艺技术水平、业绩5分，服务、工期及资金状况15分。</w:t>
      </w:r>
    </w:p>
    <w:p>
      <w:pPr>
        <w:spacing w:line="240" w:lineRule="auto"/>
        <w:rPr>
          <w:rFonts w:hint="eastAsia"/>
          <w:b/>
        </w:rPr>
      </w:pPr>
      <w:r>
        <w:rPr>
          <w:rFonts w:hint="eastAsia"/>
          <w:b/>
        </w:rPr>
        <w:t>十三、其他要求</w:t>
      </w:r>
    </w:p>
    <w:p>
      <w:pPr>
        <w:numPr>
          <w:ilvl w:val="0"/>
          <w:numId w:val="0"/>
        </w:numPr>
        <w:adjustRightInd w:val="0"/>
        <w:snapToGrid w:val="0"/>
        <w:spacing w:line="240" w:lineRule="auto"/>
        <w:ind w:firstLine="480" w:firstLineChars="200"/>
        <w:jc w:val="left"/>
        <w:rPr>
          <w:rFonts w:hint="eastAsia"/>
        </w:rPr>
      </w:pPr>
      <w:r>
        <w:rPr>
          <w:rFonts w:hint="eastAsia"/>
        </w:rPr>
        <w:t>1、必须有相应商贸材料供应及相应的安装、维修能力和一定垫资能力。</w:t>
      </w:r>
    </w:p>
    <w:p>
      <w:pPr>
        <w:numPr>
          <w:ilvl w:val="0"/>
          <w:numId w:val="0"/>
        </w:numPr>
        <w:adjustRightInd w:val="0"/>
        <w:snapToGrid w:val="0"/>
        <w:spacing w:line="240" w:lineRule="auto"/>
        <w:ind w:firstLine="480" w:firstLineChars="200"/>
        <w:jc w:val="left"/>
        <w:rPr>
          <w:rFonts w:hint="eastAsia" w:eastAsia="宋体"/>
          <w:lang w:eastAsia="zh-CN"/>
        </w:rPr>
      </w:pPr>
      <w:r>
        <w:rPr>
          <w:rFonts w:hint="eastAsia"/>
        </w:rPr>
        <w:t>2、按照我方提供的材料清单进行清单报价</w:t>
      </w:r>
      <w:r>
        <w:rPr>
          <w:rFonts w:hint="eastAsia"/>
          <w:lang w:eastAsia="zh-CN"/>
        </w:rPr>
        <w:t>。</w:t>
      </w:r>
    </w:p>
    <w:p>
      <w:pPr>
        <w:numPr>
          <w:ilvl w:val="0"/>
          <w:numId w:val="0"/>
        </w:numPr>
        <w:adjustRightInd w:val="0"/>
        <w:snapToGrid w:val="0"/>
        <w:spacing w:line="240" w:lineRule="auto"/>
        <w:ind w:firstLine="480" w:firstLineChars="200"/>
        <w:jc w:val="left"/>
        <w:rPr>
          <w:rFonts w:hint="eastAsia"/>
        </w:rPr>
      </w:pPr>
      <w:r>
        <w:rPr>
          <w:rFonts w:hint="eastAsia"/>
        </w:rPr>
        <w:t>3、付款方式：该业务的付款方式为次月付款，即：每月25日将该月所发生材料费以清单形式上报后勤部并附增值税发票，设备中心在次月1日前进行公司内部审核，并报资金计划，计划通过后于次月15日付款（付款方式：电汇）</w:t>
      </w:r>
    </w:p>
    <w:p>
      <w:pPr>
        <w:numPr>
          <w:ilvl w:val="0"/>
          <w:numId w:val="0"/>
        </w:numPr>
        <w:adjustRightInd w:val="0"/>
        <w:snapToGrid w:val="0"/>
        <w:spacing w:line="240" w:lineRule="auto"/>
        <w:ind w:firstLine="480" w:firstLineChars="200"/>
        <w:jc w:val="left"/>
        <w:rPr>
          <w:rFonts w:hint="eastAsia"/>
        </w:rPr>
      </w:pPr>
      <w:r>
        <w:rPr>
          <w:rFonts w:hint="eastAsia"/>
        </w:rPr>
        <w:t>4、交货验收：交货地点：芜湖新兴铸管有限责任公司三山区现场。验收方式：材料到场后根据送货清单对供应材料进行数量核对，并由设备中心负责人及使用中心负责人及送货人三方现场验货，无误后三方签字完成交货程序，交货完成后进入质保期，质保期按照国家相关质保标准及质量三包标准执行，无国家相关标准的特殊物资，以双方协商为准。</w:t>
      </w:r>
    </w:p>
    <w:p>
      <w:pPr>
        <w:numPr>
          <w:ilvl w:val="0"/>
          <w:numId w:val="0"/>
        </w:numPr>
        <w:adjustRightInd w:val="0"/>
        <w:snapToGrid w:val="0"/>
        <w:spacing w:line="240" w:lineRule="auto"/>
        <w:ind w:firstLine="480" w:firstLineChars="200"/>
        <w:jc w:val="left"/>
        <w:rPr>
          <w:rFonts w:hint="eastAsia"/>
        </w:rPr>
      </w:pPr>
      <w:r>
        <w:rPr>
          <w:rFonts w:hint="eastAsia"/>
        </w:rPr>
        <w:t>5、交货期要求：此次招标材料送货共分两种形式，第一可提前计划的，在每月10日前提供材料清单给供应方采购，需在5个工作日内到货。第二为不可计划的紧急材料采购，以电话或信息形式告知供应方，要求一般常规标准材料在4小时内送到现场指定位置。非标特殊材料需在48小时内送到。个别需定制的极特殊物资，可根据实际情况经双方认可确定到货时间。</w:t>
      </w:r>
    </w:p>
    <w:p>
      <w:pPr>
        <w:numPr>
          <w:ilvl w:val="0"/>
          <w:numId w:val="0"/>
        </w:numPr>
        <w:adjustRightInd w:val="0"/>
        <w:snapToGrid w:val="0"/>
        <w:spacing w:line="240" w:lineRule="auto"/>
        <w:ind w:firstLine="480" w:firstLineChars="200"/>
        <w:jc w:val="left"/>
        <w:rPr>
          <w:rFonts w:hint="eastAsia"/>
        </w:rPr>
      </w:pPr>
      <w:r>
        <w:rPr>
          <w:rFonts w:hint="eastAsia"/>
        </w:rPr>
        <w:t>6、供货期及质量验收考核标准：设备到货后如质量验收不合格，采购方有权给予退货处理，如因质量问题对采购方造成不良影响的，根据影响程度进行相应考核，严重的可以终止合同或追究法律责任。设备到货期延误的按照每延误1小时200元给予考核。</w:t>
      </w:r>
    </w:p>
    <w:p>
      <w:pPr>
        <w:numPr>
          <w:ilvl w:val="0"/>
          <w:numId w:val="0"/>
        </w:numPr>
        <w:adjustRightInd w:val="0"/>
        <w:snapToGrid w:val="0"/>
        <w:spacing w:line="240" w:lineRule="auto"/>
        <w:ind w:firstLine="480" w:firstLineChars="200"/>
        <w:jc w:val="left"/>
        <w:rPr>
          <w:rFonts w:hint="eastAsia"/>
        </w:rPr>
      </w:pPr>
      <w:r>
        <w:rPr>
          <w:rFonts w:hint="eastAsia"/>
          <w:lang w:val="en-US" w:eastAsia="zh-CN"/>
        </w:rPr>
        <w:t>7、</w:t>
      </w:r>
      <w:r>
        <w:rPr>
          <w:rFonts w:hint="eastAsia"/>
        </w:rPr>
        <w:t>乙方所供应的物资必须为各大知名品牌产品，并有相关国家认证标准，严禁提供假冒、伪劣、三无等产品，一经发现追究法律责任。</w:t>
      </w:r>
    </w:p>
    <w:p>
      <w:pPr>
        <w:numPr>
          <w:ilvl w:val="0"/>
          <w:numId w:val="0"/>
        </w:numPr>
        <w:adjustRightInd w:val="0"/>
        <w:snapToGrid w:val="0"/>
        <w:spacing w:line="240" w:lineRule="auto"/>
        <w:ind w:firstLine="480" w:firstLineChars="200"/>
        <w:jc w:val="left"/>
        <w:rPr>
          <w:rFonts w:hint="eastAsia"/>
        </w:rPr>
      </w:pPr>
      <w:r>
        <w:rPr>
          <w:rFonts w:hint="eastAsia"/>
          <w:lang w:val="en-US" w:eastAsia="zh-CN"/>
        </w:rPr>
        <w:t>8、</w:t>
      </w:r>
      <w:r>
        <w:rPr>
          <w:rFonts w:hint="eastAsia"/>
        </w:rPr>
        <w:t>乙方在承揽我公司业务时，必须遵守我公司规定的各项规章制度，因自身原因影响生产，我公司有权要求索赔和终止合同。</w:t>
      </w:r>
    </w:p>
    <w:p>
      <w:pPr>
        <w:numPr>
          <w:ilvl w:val="0"/>
          <w:numId w:val="0"/>
        </w:numPr>
        <w:adjustRightInd w:val="0"/>
        <w:snapToGrid w:val="0"/>
        <w:spacing w:line="240" w:lineRule="auto"/>
        <w:ind w:firstLine="480" w:firstLineChars="200"/>
        <w:jc w:val="left"/>
        <w:rPr>
          <w:rFonts w:hint="eastAsia"/>
        </w:rPr>
      </w:pPr>
      <w:r>
        <w:rPr>
          <w:rFonts w:hint="eastAsia"/>
          <w:lang w:val="en-US" w:eastAsia="zh-CN"/>
        </w:rPr>
        <w:t>9、</w:t>
      </w:r>
      <w:r>
        <w:rPr>
          <w:rFonts w:hint="eastAsia"/>
        </w:rPr>
        <w:t>乙方工作人员在甲方区域擅自从事本合同以外的作业或者在工作过程中违反安全技术操作规程导致伤亡的，由乙方负责；造成甲方经济损失的应当赔偿。</w:t>
      </w:r>
    </w:p>
    <w:p>
      <w:pPr>
        <w:numPr>
          <w:ilvl w:val="0"/>
          <w:numId w:val="0"/>
        </w:numPr>
        <w:adjustRightInd w:val="0"/>
        <w:snapToGrid w:val="0"/>
        <w:spacing w:line="240" w:lineRule="auto"/>
        <w:ind w:firstLine="480" w:firstLineChars="200"/>
        <w:jc w:val="left"/>
        <w:rPr>
          <w:rFonts w:hint="default" w:eastAsia="宋体"/>
          <w:lang w:val="en-US" w:eastAsia="zh-CN"/>
        </w:rPr>
      </w:pPr>
      <w:r>
        <w:rPr>
          <w:rFonts w:hint="eastAsia"/>
          <w:lang w:val="en-US" w:eastAsia="zh-CN"/>
        </w:rPr>
        <w:t>10、本次招标合同周期一年。</w:t>
      </w:r>
    </w:p>
    <w:p>
      <w:pPr>
        <w:numPr>
          <w:ilvl w:val="0"/>
          <w:numId w:val="0"/>
        </w:numPr>
        <w:adjustRightInd w:val="0"/>
        <w:snapToGrid w:val="0"/>
        <w:spacing w:line="240" w:lineRule="auto"/>
        <w:jc w:val="left"/>
        <w:rPr>
          <w:rFonts w:hint="eastAsia" w:ascii="宋体" w:hAnsi="宋体"/>
          <w:b/>
          <w:bCs/>
          <w:sz w:val="28"/>
          <w:szCs w:val="28"/>
          <w:lang w:val="en-US" w:eastAsia="zh-CN"/>
        </w:rPr>
      </w:pPr>
    </w:p>
    <w:p>
      <w:pPr>
        <w:numPr>
          <w:ilvl w:val="0"/>
          <w:numId w:val="0"/>
        </w:numPr>
        <w:adjustRightInd w:val="0"/>
        <w:snapToGrid w:val="0"/>
        <w:spacing w:line="240" w:lineRule="auto"/>
        <w:jc w:val="right"/>
        <w:rPr>
          <w:rFonts w:hint="eastAsia" w:ascii="宋体" w:hAnsi="宋体"/>
          <w:b/>
          <w:bCs/>
          <w:sz w:val="28"/>
          <w:szCs w:val="28"/>
          <w:lang w:val="en-US" w:eastAsia="zh-CN"/>
        </w:rPr>
      </w:pPr>
      <w:r>
        <w:rPr>
          <w:rFonts w:hint="eastAsia" w:ascii="宋体" w:hAnsi="宋体"/>
          <w:b/>
          <w:bCs/>
          <w:sz w:val="28"/>
          <w:szCs w:val="28"/>
          <w:lang w:val="en-US" w:eastAsia="zh-CN"/>
        </w:rPr>
        <w:t>芜湖新兴铸管有限责任公司</w:t>
      </w:r>
    </w:p>
    <w:p>
      <w:pPr>
        <w:numPr>
          <w:ilvl w:val="0"/>
          <w:numId w:val="0"/>
        </w:numPr>
        <w:wordWrap w:val="0"/>
        <w:adjustRightInd w:val="0"/>
        <w:snapToGrid w:val="0"/>
        <w:spacing w:line="240" w:lineRule="auto"/>
        <w:jc w:val="right"/>
        <w:rPr>
          <w:rFonts w:hint="default" w:ascii="宋体" w:hAnsi="宋体"/>
          <w:lang w:val="en-US" w:eastAsia="zh-CN"/>
        </w:rPr>
      </w:pPr>
      <w:r>
        <w:rPr>
          <w:rFonts w:hint="eastAsia" w:ascii="宋体" w:hAnsi="宋体"/>
          <w:b/>
          <w:bCs/>
          <w:sz w:val="28"/>
          <w:szCs w:val="28"/>
          <w:lang w:val="en-US" w:eastAsia="zh-CN"/>
        </w:rPr>
        <w:t xml:space="preserve">2020-04-13  </w:t>
      </w:r>
      <w:r>
        <w:rPr>
          <w:rFonts w:hint="eastAsia" w:ascii="宋体" w:hAnsi="宋体"/>
          <w:lang w:val="en-US" w:eastAsia="zh-CN"/>
        </w:rPr>
        <w:t xml:space="preserve">  </w:t>
      </w:r>
    </w:p>
    <w:p>
      <w:pPr>
        <w:spacing w:line="240" w:lineRule="auto"/>
      </w:pPr>
    </w:p>
    <w:sectPr>
      <w:footerReference r:id="rId3"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4</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4</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ACFB70"/>
    <w:multiLevelType w:val="singleLevel"/>
    <w:tmpl w:val="88ACFB70"/>
    <w:lvl w:ilvl="0" w:tentative="0">
      <w:start w:val="1"/>
      <w:numFmt w:val="decimal"/>
      <w:suff w:val="nothing"/>
      <w:lvlText w:val="%1．"/>
      <w:lvlJc w:val="left"/>
      <w:pPr>
        <w:ind w:left="876" w:firstLine="400"/>
      </w:pPr>
      <w:rPr>
        <w:rFonts w:hint="default"/>
      </w:rPr>
    </w:lvl>
  </w:abstractNum>
  <w:abstractNum w:abstractNumId="1">
    <w:nsid w:val="9726F0C2"/>
    <w:multiLevelType w:val="singleLevel"/>
    <w:tmpl w:val="9726F0C2"/>
    <w:lvl w:ilvl="0" w:tentative="0">
      <w:start w:val="1"/>
      <w:numFmt w:val="decimal"/>
      <w:suff w:val="nothing"/>
      <w:lvlText w:val="%1．"/>
      <w:lvlJc w:val="left"/>
      <w:pPr>
        <w:ind w:left="0" w:firstLine="400"/>
      </w:pPr>
      <w:rPr>
        <w:rFonts w:hint="default"/>
      </w:rPr>
    </w:lvl>
  </w:abstractNum>
  <w:abstractNum w:abstractNumId="2">
    <w:nsid w:val="DFF0FD42"/>
    <w:multiLevelType w:val="singleLevel"/>
    <w:tmpl w:val="DFF0FD42"/>
    <w:lvl w:ilvl="0" w:tentative="0">
      <w:start w:val="1"/>
      <w:numFmt w:val="decimal"/>
      <w:suff w:val="space"/>
      <w:lvlText w:val="%1."/>
      <w:lvlJc w:val="left"/>
    </w:lvl>
  </w:abstractNum>
  <w:abstractNum w:abstractNumId="3">
    <w:nsid w:val="FDEFB2C9"/>
    <w:multiLevelType w:val="singleLevel"/>
    <w:tmpl w:val="FDEFB2C9"/>
    <w:lvl w:ilvl="0" w:tentative="0">
      <w:start w:val="1"/>
      <w:numFmt w:val="decimal"/>
      <w:lvlText w:val="(%1)"/>
      <w:lvlJc w:val="left"/>
      <w:pPr>
        <w:ind w:left="425" w:hanging="425"/>
      </w:pPr>
      <w:rPr>
        <w:rFonts w:hint="default"/>
      </w:rPr>
    </w:lvl>
  </w:abstractNum>
  <w:abstractNum w:abstractNumId="4">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5">
    <w:nsid w:val="0000000B"/>
    <w:multiLevelType w:val="singleLevel"/>
    <w:tmpl w:val="0000000B"/>
    <w:lvl w:ilvl="0" w:tentative="0">
      <w:start w:val="1"/>
      <w:numFmt w:val="decimal"/>
      <w:lvlText w:val="（%1）"/>
      <w:lvlJc w:val="left"/>
      <w:pPr>
        <w:tabs>
          <w:tab w:val="left" w:pos="1125"/>
        </w:tabs>
        <w:ind w:left="1125" w:hanging="705"/>
      </w:pPr>
    </w:lvl>
  </w:abstractNum>
  <w:abstractNum w:abstractNumId="6">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5C8DB53C"/>
    <w:multiLevelType w:val="singleLevel"/>
    <w:tmpl w:val="5C8DB53C"/>
    <w:lvl w:ilvl="0" w:tentative="0">
      <w:start w:val="1"/>
      <w:numFmt w:val="decimal"/>
      <w:suff w:val="nothing"/>
      <w:lvlText w:val="%1．"/>
      <w:lvlJc w:val="left"/>
      <w:pPr>
        <w:ind w:left="0" w:firstLine="400"/>
      </w:pPr>
      <w:rPr>
        <w:rFonts w:hint="default"/>
      </w:rPr>
    </w:lvl>
  </w:abstractNum>
  <w:abstractNum w:abstractNumId="8">
    <w:nsid w:val="6DA18680"/>
    <w:multiLevelType w:val="singleLevel"/>
    <w:tmpl w:val="6DA18680"/>
    <w:lvl w:ilvl="0" w:tentative="0">
      <w:start w:val="1"/>
      <w:numFmt w:val="decimal"/>
      <w:suff w:val="nothing"/>
      <w:lvlText w:val="%1．"/>
      <w:lvlJc w:val="left"/>
      <w:pPr>
        <w:ind w:left="0" w:firstLine="400"/>
      </w:pPr>
      <w:rPr>
        <w:rFonts w:hint="default"/>
      </w:rPr>
    </w:lvl>
  </w:abstractNum>
  <w:num w:numId="1">
    <w:abstractNumId w:val="4"/>
    <w:lvlOverride w:ilvl="0">
      <w:startOverride w:val="1"/>
    </w:lvlOverride>
  </w:num>
  <w:num w:numId="2">
    <w:abstractNumId w:val="2"/>
  </w:num>
  <w:num w:numId="3">
    <w:abstractNumId w:val="3"/>
  </w:num>
  <w:num w:numId="4">
    <w:abstractNumId w:val="5"/>
    <w:lvlOverride w:ilvl="0">
      <w:startOverride w:val="1"/>
    </w:lvlOverride>
  </w:num>
  <w:num w:numId="5">
    <w:abstractNumId w:val="6"/>
  </w:num>
  <w:num w:numId="6">
    <w:abstractNumId w:val="7"/>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500F8"/>
    <w:rsid w:val="17DD2633"/>
    <w:rsid w:val="197D1E1B"/>
    <w:rsid w:val="1C597FEA"/>
    <w:rsid w:val="28E20F06"/>
    <w:rsid w:val="2F4B41D3"/>
    <w:rsid w:val="321B5ECA"/>
    <w:rsid w:val="36A94097"/>
    <w:rsid w:val="376D15DE"/>
    <w:rsid w:val="424412C3"/>
    <w:rsid w:val="440D701C"/>
    <w:rsid w:val="48600FD6"/>
    <w:rsid w:val="4C65282A"/>
    <w:rsid w:val="4F346C81"/>
    <w:rsid w:val="591C3427"/>
    <w:rsid w:val="657F2494"/>
    <w:rsid w:val="66B55917"/>
    <w:rsid w:val="7C652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p0"/>
    <w:basedOn w:val="1"/>
    <w:qFormat/>
    <w:uiPriority w:val="0"/>
  </w:style>
  <w:style w:type="paragraph" w:customStyle="1" w:styleId="7">
    <w:name w:val="Plain Text1"/>
    <w:basedOn w:val="1"/>
    <w:qFormat/>
    <w:uiPriority w:val="0"/>
    <w:rPr>
      <w:rFonts w:ascii="宋体fal" w:hAnsi="Courier New" w:cs="宋体f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李全清</cp:lastModifiedBy>
  <dcterms:modified xsi:type="dcterms:W3CDTF">2020-04-13T06:44:24Z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