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bookmarkStart w:id="0" w:name="_GoBack"/>
      <w:bookmarkEnd w:id="0"/>
    </w:p>
    <w:p>
      <w:pPr>
        <w:numPr>
          <w:ilvl w:val="0"/>
          <w:numId w:val="1"/>
        </w:numPr>
        <w:spacing w:line="240" w:lineRule="auto"/>
        <w:rPr>
          <w:rFonts w:ascii="宋体" w:hAnsi="宋体"/>
          <w:b/>
        </w:rPr>
      </w:pPr>
      <w:r>
        <w:rPr>
          <w:rFonts w:hint="eastAsia" w:ascii="宋体" w:hAnsi="宋体"/>
          <w:b/>
        </w:rPr>
        <w:t>一般要求</w:t>
      </w:r>
    </w:p>
    <w:p>
      <w:pPr>
        <w:pStyle w:val="2"/>
        <w:spacing w:line="240" w:lineRule="auto"/>
        <w:ind w:left="480"/>
        <w:rPr>
          <w:rFonts w:ascii="宋体" w:hAnsi="宋体"/>
          <w:b/>
          <w:bCs/>
        </w:rPr>
      </w:pPr>
      <w:r>
        <w:rPr>
          <w:rFonts w:ascii="宋体" w:hAnsi="宋体"/>
        </w:rPr>
        <w:t xml:space="preserve">    </w:t>
      </w: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240" w:lineRule="auto"/>
        <w:rPr>
          <w:rFonts w:hint="eastAsia" w:ascii="宋体" w:hAnsi="宋体"/>
          <w:b/>
        </w:rPr>
      </w:pPr>
      <w:r>
        <w:rPr>
          <w:rFonts w:hint="eastAsia" w:ascii="宋体" w:hAnsi="宋体"/>
          <w:b/>
        </w:rPr>
        <w:t>投标保证金</w:t>
      </w:r>
    </w:p>
    <w:p>
      <w:pPr>
        <w:tabs>
          <w:tab w:val="left" w:pos="420"/>
          <w:tab w:val="left" w:pos="630"/>
        </w:tabs>
        <w:spacing w:line="240" w:lineRule="auto"/>
        <w:ind w:left="480" w:leftChars="200" w:firstLine="480" w:firstLineChars="200"/>
        <w:rPr>
          <w:rFonts w:hint="eastAsia" w:ascii="宋体" w:hAnsi="宋体"/>
          <w:bCs/>
          <w:sz w:val="32"/>
        </w:rPr>
      </w:pPr>
      <w:r>
        <w:rPr>
          <w:rFonts w:hint="eastAsia" w:ascii="宋体" w:hAnsi="宋体"/>
          <w:bCs/>
        </w:rPr>
        <w:t>本次招标收取</w:t>
      </w:r>
      <w:r>
        <w:rPr>
          <w:rFonts w:hint="eastAsia" w:ascii="宋体" w:hAnsi="宋体"/>
          <w:bCs/>
          <w:color w:val="0000FF"/>
          <w:u w:val="single"/>
        </w:rPr>
        <w:t>投标保证金</w:t>
      </w:r>
      <w:r>
        <w:rPr>
          <w:rFonts w:hint="eastAsia" w:ascii="宋体" w:hAnsi="宋体"/>
          <w:b/>
          <w:bCs w:val="0"/>
          <w:color w:val="FF0000"/>
          <w:u w:val="single"/>
          <w:lang w:val="en-US" w:eastAsia="zh-CN"/>
        </w:rPr>
        <w:t>壹</w:t>
      </w:r>
      <w:r>
        <w:rPr>
          <w:rFonts w:hint="eastAsia" w:ascii="宋体" w:hAnsi="宋体"/>
          <w:b/>
          <w:bCs/>
          <w:color w:val="FF0000"/>
          <w:u w:val="single"/>
          <w:lang w:val="en-US" w:eastAsia="zh-CN"/>
        </w:rPr>
        <w:t>万元</w:t>
      </w:r>
      <w:r>
        <w:rPr>
          <w:rFonts w:hint="eastAsia" w:ascii="宋体" w:hAnsi="宋体"/>
          <w:bCs/>
          <w:color w:val="0000FF"/>
          <w:u w:val="single"/>
        </w:rPr>
        <w:t>（电汇，基本账户汇款）</w:t>
      </w:r>
      <w:r>
        <w:rPr>
          <w:rFonts w:hint="eastAsia" w:ascii="宋体" w:hAnsi="宋体"/>
          <w:bCs/>
        </w:rPr>
        <w:t>，投标人需在</w:t>
      </w:r>
      <w:r>
        <w:rPr>
          <w:rFonts w:hint="eastAsia" w:ascii="宋体" w:hAnsi="宋体"/>
          <w:u w:val="single"/>
          <w:lang w:val="en-US" w:eastAsia="zh-CN"/>
        </w:rPr>
        <w:t>2020</w:t>
      </w:r>
      <w:r>
        <w:rPr>
          <w:rFonts w:hint="eastAsia" w:ascii="宋体" w:hAnsi="宋体"/>
          <w:bCs/>
          <w:color w:val="7030A0"/>
        </w:rPr>
        <w:t>年</w:t>
      </w:r>
      <w:r>
        <w:rPr>
          <w:rFonts w:hint="eastAsia" w:ascii="宋体" w:hAnsi="宋体"/>
          <w:u w:val="single"/>
          <w:lang w:val="en-US" w:eastAsia="zh-CN"/>
        </w:rPr>
        <w:t>05</w:t>
      </w:r>
      <w:r>
        <w:rPr>
          <w:rFonts w:hint="eastAsia" w:ascii="宋体" w:hAnsi="宋体"/>
          <w:bCs/>
          <w:color w:val="7030A0"/>
        </w:rPr>
        <w:t>月</w:t>
      </w:r>
      <w:r>
        <w:rPr>
          <w:rFonts w:hint="eastAsia" w:ascii="宋体" w:hAnsi="宋体"/>
          <w:u w:val="single"/>
          <w:lang w:val="en-US" w:eastAsia="zh-CN"/>
        </w:rPr>
        <w:t>29</w:t>
      </w:r>
      <w:r>
        <w:rPr>
          <w:rFonts w:hint="eastAsia" w:ascii="宋体" w:hAnsi="宋体"/>
          <w:bCs/>
          <w:color w:val="7030A0"/>
        </w:rPr>
        <w:t>日</w:t>
      </w:r>
      <w:r>
        <w:rPr>
          <w:rFonts w:hint="eastAsia" w:ascii="宋体" w:hAnsi="宋体"/>
          <w:u w:val="single"/>
          <w:lang w:val="en-US" w:eastAsia="zh-CN"/>
        </w:rPr>
        <w:t>16:30</w:t>
      </w:r>
      <w:r>
        <w:rPr>
          <w:rFonts w:hint="eastAsia" w:ascii="宋体" w:hAnsi="宋体"/>
          <w:bCs/>
          <w:color w:val="7030A0"/>
        </w:rPr>
        <w:t>点前</w:t>
      </w:r>
      <w:r>
        <w:rPr>
          <w:rFonts w:hint="eastAsia" w:ascii="宋体" w:hAnsi="宋体"/>
          <w:bCs/>
        </w:rPr>
        <w:t>缴纳此费用（否则视为自动放弃投标资格），注明投标保证金。如未中标，发包人将会无息退还此费用(60日内)，如中标，则此款项自动转为履约保证金。</w:t>
      </w:r>
    </w:p>
    <w:p>
      <w:pPr>
        <w:spacing w:line="240" w:lineRule="auto"/>
        <w:ind w:firstLine="1680" w:firstLineChars="700"/>
        <w:rPr>
          <w:rFonts w:ascii="宋体" w:hAnsi="宋体"/>
          <w:bCs/>
        </w:rPr>
      </w:pPr>
      <w:r>
        <w:rPr>
          <w:rFonts w:hint="eastAsia" w:ascii="宋体" w:hAnsi="宋体"/>
          <w:bCs/>
        </w:rPr>
        <w:t>单位名称：芜湖新兴铸管有限责任公司</w:t>
      </w:r>
      <w:r>
        <w:rPr>
          <w:rFonts w:ascii="宋体" w:hAnsi="宋体"/>
          <w:bCs/>
        </w:rPr>
        <w:t xml:space="preserve">         </w:t>
      </w:r>
    </w:p>
    <w:p>
      <w:pPr>
        <w:spacing w:line="240" w:lineRule="auto"/>
        <w:ind w:firstLine="1680" w:firstLineChars="700"/>
        <w:rPr>
          <w:rFonts w:hint="eastAsia" w:ascii="宋体" w:hAnsi="宋体"/>
          <w:bCs/>
        </w:rPr>
      </w:pPr>
      <w:r>
        <w:rPr>
          <w:rFonts w:hint="eastAsia" w:ascii="宋体" w:hAnsi="宋体"/>
          <w:bCs/>
        </w:rPr>
        <w:t>单位地址：芜湖市</w:t>
      </w:r>
      <w:r>
        <w:rPr>
          <w:rFonts w:ascii="宋体" w:hAnsi="宋体"/>
          <w:bCs/>
        </w:rPr>
        <w:t>三山区经济开发区</w:t>
      </w:r>
      <w:r>
        <w:rPr>
          <w:rFonts w:hint="eastAsia" w:ascii="宋体" w:hAnsi="宋体"/>
          <w:bCs/>
        </w:rPr>
        <w:t>春洲路2号</w:t>
      </w:r>
    </w:p>
    <w:p>
      <w:pPr>
        <w:spacing w:line="240" w:lineRule="auto"/>
        <w:ind w:firstLine="1680" w:firstLineChars="700"/>
        <w:rPr>
          <w:rFonts w:ascii="宋体" w:hAnsi="宋体"/>
          <w:bCs/>
        </w:rPr>
      </w:pPr>
      <w:r>
        <w:rPr>
          <w:rFonts w:hint="eastAsia" w:ascii="宋体" w:hAnsi="宋体"/>
          <w:bCs/>
        </w:rPr>
        <w:t>开</w:t>
      </w:r>
      <w:r>
        <w:rPr>
          <w:rFonts w:ascii="宋体" w:hAnsi="宋体"/>
          <w:bCs/>
        </w:rPr>
        <w:t xml:space="preserve"> </w:t>
      </w:r>
      <w:r>
        <w:rPr>
          <w:rFonts w:hint="eastAsia" w:ascii="宋体" w:hAnsi="宋体"/>
          <w:bCs/>
        </w:rPr>
        <w:t>户</w:t>
      </w:r>
      <w:r>
        <w:rPr>
          <w:rFonts w:ascii="宋体" w:hAnsi="宋体"/>
          <w:bCs/>
        </w:rPr>
        <w:t xml:space="preserve"> </w:t>
      </w:r>
      <w:r>
        <w:rPr>
          <w:rFonts w:hint="eastAsia" w:ascii="宋体" w:hAnsi="宋体"/>
          <w:bCs/>
        </w:rPr>
        <w:t>行：工商银行环城路支行（工行环办）</w:t>
      </w:r>
    </w:p>
    <w:p>
      <w:pPr>
        <w:spacing w:line="240" w:lineRule="auto"/>
        <w:ind w:firstLine="1653" w:firstLineChars="689"/>
        <w:rPr>
          <w:rFonts w:hint="eastAsia" w:ascii="宋体" w:hAnsi="宋体"/>
          <w:bCs/>
        </w:rPr>
      </w:pPr>
      <w:r>
        <w:rPr>
          <w:rFonts w:hint="eastAsia" w:ascii="宋体" w:hAnsi="宋体"/>
          <w:bCs/>
        </w:rPr>
        <w:t>帐</w:t>
      </w:r>
      <w:r>
        <w:rPr>
          <w:rFonts w:ascii="宋体" w:hAnsi="宋体"/>
          <w:bCs/>
        </w:rPr>
        <w:t xml:space="preserve">    </w:t>
      </w:r>
      <w:r>
        <w:rPr>
          <w:rFonts w:hint="eastAsia" w:ascii="宋体" w:hAnsi="宋体"/>
          <w:bCs/>
        </w:rPr>
        <w:t>号：1307023219000109264</w:t>
      </w:r>
    </w:p>
    <w:p>
      <w:pPr>
        <w:spacing w:line="240" w:lineRule="auto"/>
        <w:ind w:firstLine="1653" w:firstLineChars="689"/>
        <w:rPr>
          <w:rFonts w:hint="eastAsia" w:ascii="宋体" w:hAnsi="宋体"/>
          <w:bCs/>
        </w:rPr>
      </w:pPr>
    </w:p>
    <w:p>
      <w:pPr>
        <w:numPr>
          <w:ilvl w:val="0"/>
          <w:numId w:val="1"/>
        </w:numPr>
        <w:spacing w:line="240" w:lineRule="auto"/>
        <w:rPr>
          <w:rFonts w:ascii="宋体" w:hAnsi="宋体"/>
          <w:b/>
        </w:rPr>
      </w:pPr>
      <w:r>
        <w:rPr>
          <w:rFonts w:hint="eastAsia" w:ascii="宋体" w:hAnsi="宋体"/>
          <w:b/>
        </w:rPr>
        <w:t>投标文件的语言</w:t>
      </w:r>
    </w:p>
    <w:p>
      <w:pPr>
        <w:spacing w:line="240" w:lineRule="auto"/>
        <w:ind w:left="571" w:leftChars="238" w:firstLine="480" w:firstLineChars="200"/>
        <w:rPr>
          <w:rFonts w:ascii="宋体" w:hAnsi="宋体"/>
        </w:rPr>
      </w:pPr>
      <w:r>
        <w:rPr>
          <w:rFonts w:hint="eastAsia" w:ascii="宋体" w:hAnsi="宋体"/>
        </w:rPr>
        <w:t>投标文件应用中文编写；度量衡采用国家法定单位制（即国际单位制）；货币采用人民币。</w:t>
      </w:r>
    </w:p>
    <w:p>
      <w:pPr>
        <w:numPr>
          <w:ilvl w:val="0"/>
          <w:numId w:val="1"/>
        </w:numPr>
        <w:spacing w:line="240" w:lineRule="auto"/>
        <w:rPr>
          <w:rFonts w:ascii="宋体" w:hAnsi="宋体"/>
          <w:b/>
        </w:rPr>
      </w:pPr>
      <w:r>
        <w:rPr>
          <w:rFonts w:hint="eastAsia" w:ascii="宋体" w:hAnsi="宋体"/>
          <w:b/>
        </w:rPr>
        <w:t>投标有效期</w:t>
      </w:r>
    </w:p>
    <w:p>
      <w:pPr>
        <w:spacing w:line="240" w:lineRule="auto"/>
        <w:ind w:firstLine="1020" w:firstLineChars="425"/>
        <w:rPr>
          <w:rFonts w:ascii="宋体" w:hAnsi="宋体"/>
        </w:rPr>
      </w:pPr>
      <w:r>
        <w:rPr>
          <w:rFonts w:hint="eastAsia" w:ascii="宋体" w:hAnsi="宋体"/>
        </w:rPr>
        <w:t>投标有效期:90天。</w:t>
      </w:r>
    </w:p>
    <w:p>
      <w:pPr>
        <w:numPr>
          <w:ilvl w:val="0"/>
          <w:numId w:val="1"/>
        </w:numPr>
        <w:spacing w:line="240" w:lineRule="auto"/>
        <w:rPr>
          <w:rFonts w:ascii="宋体" w:hAnsi="宋体"/>
          <w:b/>
        </w:rPr>
      </w:pPr>
      <w:r>
        <w:rPr>
          <w:rFonts w:hint="eastAsia" w:ascii="宋体" w:hAnsi="宋体"/>
          <w:b/>
        </w:rPr>
        <w:t>投标人要求</w:t>
      </w:r>
    </w:p>
    <w:p>
      <w:pPr>
        <w:numPr>
          <w:ilvl w:val="0"/>
          <w:numId w:val="2"/>
        </w:numPr>
        <w:spacing w:line="240" w:lineRule="auto"/>
        <w:ind w:left="285" w:leftChars="0"/>
        <w:rPr>
          <w:rFonts w:ascii="宋体" w:hAnsi="宋体"/>
        </w:rPr>
      </w:pPr>
      <w:r>
        <w:rPr>
          <w:rFonts w:hint="eastAsia" w:ascii="宋体" w:hAnsi="宋体"/>
        </w:rPr>
        <w:t>合格的投标人应具有圆满履行合同的能力，具体应符合下列条件：</w:t>
      </w:r>
    </w:p>
    <w:p>
      <w:pPr>
        <w:numPr>
          <w:ilvl w:val="0"/>
          <w:numId w:val="3"/>
        </w:numPr>
        <w:tabs>
          <w:tab w:val="left" w:pos="1125"/>
        </w:tabs>
        <w:spacing w:line="240" w:lineRule="auto"/>
        <w:ind w:left="1265" w:leftChars="0" w:hanging="425" w:firstLineChars="0"/>
        <w:rPr>
          <w:rFonts w:ascii="宋体" w:hAnsi="宋体"/>
        </w:rPr>
      </w:pPr>
      <w:r>
        <w:rPr>
          <w:rFonts w:hint="eastAsia" w:ascii="宋体" w:hAnsi="宋体"/>
        </w:rPr>
        <w:t>具有独立订立合同的权利。</w:t>
      </w:r>
    </w:p>
    <w:p>
      <w:pPr>
        <w:numPr>
          <w:ilvl w:val="0"/>
          <w:numId w:val="3"/>
        </w:numPr>
        <w:tabs>
          <w:tab w:val="left" w:pos="1125"/>
        </w:tabs>
        <w:spacing w:line="240" w:lineRule="auto"/>
        <w:ind w:left="1265" w:leftChars="0" w:hanging="425" w:firstLineChars="0"/>
        <w:rPr>
          <w:rFonts w:hint="eastAsia" w:ascii="宋体" w:hAnsi="宋体"/>
          <w:color w:val="FF0000"/>
        </w:rPr>
      </w:pPr>
      <w:r>
        <w:rPr>
          <w:rFonts w:hint="eastAsia" w:ascii="宋体" w:hAnsi="宋体"/>
        </w:rPr>
        <w:t>必须有</w:t>
      </w:r>
      <w:r>
        <w:rPr>
          <w:rFonts w:hint="eastAsia" w:ascii="宋体" w:hAnsi="宋体"/>
          <w:lang w:val="en-US" w:eastAsia="zh-CN"/>
        </w:rPr>
        <w:t>合同履约</w:t>
      </w:r>
      <w:r>
        <w:rPr>
          <w:rFonts w:hint="eastAsia" w:ascii="宋体" w:hAnsi="宋体"/>
        </w:rPr>
        <w:t>能力。</w:t>
      </w:r>
    </w:p>
    <w:p>
      <w:pPr>
        <w:numPr>
          <w:ilvl w:val="0"/>
          <w:numId w:val="3"/>
        </w:numPr>
        <w:tabs>
          <w:tab w:val="left" w:pos="1125"/>
        </w:tabs>
        <w:spacing w:line="240" w:lineRule="auto"/>
        <w:ind w:left="1265" w:leftChars="0" w:hanging="425" w:firstLineChars="0"/>
        <w:rPr>
          <w:rFonts w:ascii="宋体" w:hAnsi="宋体"/>
        </w:rPr>
      </w:pPr>
      <w:r>
        <w:rPr>
          <w:rFonts w:hint="eastAsia" w:ascii="宋体" w:hAnsi="宋体"/>
        </w:rPr>
        <w:t>具有</w:t>
      </w:r>
      <w:r>
        <w:rPr>
          <w:rFonts w:ascii="宋体" w:hAnsi="宋体"/>
        </w:rPr>
        <w:t>法律、法规</w:t>
      </w:r>
      <w:r>
        <w:rPr>
          <w:rFonts w:hint="eastAsia" w:ascii="宋体" w:hAnsi="宋体"/>
        </w:rPr>
        <w:t>和招标人</w:t>
      </w:r>
      <w:r>
        <w:rPr>
          <w:rFonts w:ascii="宋体" w:hAnsi="宋体"/>
        </w:rPr>
        <w:t>规定的其他条件</w:t>
      </w:r>
      <w:r>
        <w:rPr>
          <w:rFonts w:hint="eastAsia" w:ascii="宋体" w:hAnsi="宋体"/>
        </w:rPr>
        <w:t>。</w:t>
      </w:r>
    </w:p>
    <w:p>
      <w:pPr>
        <w:numPr>
          <w:ilvl w:val="0"/>
          <w:numId w:val="2"/>
        </w:numPr>
        <w:spacing w:line="240" w:lineRule="auto"/>
        <w:ind w:left="285" w:leftChars="0" w:firstLine="0" w:firstLineChars="0"/>
        <w:rPr>
          <w:rFonts w:hint="eastAsia" w:ascii="宋体" w:hAnsi="宋体"/>
        </w:rPr>
      </w:pPr>
      <w:r>
        <w:rPr>
          <w:rFonts w:hint="eastAsia" w:ascii="宋体" w:hAnsi="宋体"/>
        </w:rPr>
        <w:t>投标人</w:t>
      </w:r>
      <w:r>
        <w:rPr>
          <w:rFonts w:hint="eastAsia" w:ascii="宋体" w:hAnsi="宋体" w:cs="宋体"/>
        </w:rPr>
        <w:t>应</w:t>
      </w:r>
      <w:r>
        <w:rPr>
          <w:rFonts w:hint="eastAsia" w:ascii="宋体" w:hAnsi="宋体"/>
        </w:rPr>
        <w:t>提供下列文件和资料：</w:t>
      </w:r>
    </w:p>
    <w:p>
      <w:pPr>
        <w:numPr>
          <w:ilvl w:val="0"/>
          <w:numId w:val="4"/>
        </w:numPr>
        <w:spacing w:line="240" w:lineRule="auto"/>
        <w:rPr>
          <w:rFonts w:hint="eastAsia" w:ascii="宋体" w:hAnsi="宋体"/>
        </w:rPr>
      </w:pPr>
      <w:r>
        <w:rPr>
          <w:rFonts w:hint="eastAsia" w:ascii="宋体" w:hAnsi="宋体"/>
        </w:rPr>
        <w:t>商务文件：</w:t>
      </w:r>
    </w:p>
    <w:p>
      <w:pPr>
        <w:numPr>
          <w:ilvl w:val="0"/>
          <w:numId w:val="5"/>
        </w:numPr>
        <w:spacing w:line="240" w:lineRule="auto"/>
        <w:ind w:firstLine="120"/>
        <w:rPr>
          <w:rFonts w:hint="eastAsia" w:ascii="宋体" w:hAnsi="宋体"/>
        </w:rPr>
      </w:pPr>
      <w:r>
        <w:rPr>
          <w:rFonts w:hint="eastAsia" w:ascii="宋体" w:hAnsi="宋体"/>
        </w:rPr>
        <w:t>投标人法定代表人授权书及授权代表身份证复印件。</w:t>
      </w:r>
    </w:p>
    <w:p>
      <w:pPr>
        <w:numPr>
          <w:ilvl w:val="0"/>
          <w:numId w:val="5"/>
        </w:numPr>
        <w:spacing w:line="240" w:lineRule="auto"/>
        <w:ind w:firstLine="120"/>
        <w:rPr>
          <w:rFonts w:ascii="宋体" w:hAnsi="宋体"/>
        </w:rPr>
      </w:pPr>
      <w:r>
        <w:rPr>
          <w:rFonts w:hint="eastAsia" w:ascii="宋体" w:hAnsi="宋体"/>
        </w:rPr>
        <w:t>企业法人营业执照及质量、环境、职业安全体系认证等。</w:t>
      </w:r>
    </w:p>
    <w:p>
      <w:pPr>
        <w:numPr>
          <w:ilvl w:val="0"/>
          <w:numId w:val="5"/>
        </w:numPr>
        <w:spacing w:line="240" w:lineRule="auto"/>
        <w:ind w:firstLine="120"/>
        <w:rPr>
          <w:rFonts w:hint="eastAsia" w:ascii="宋体" w:hAnsi="宋体"/>
        </w:rPr>
      </w:pPr>
      <w:r>
        <w:rPr>
          <w:rFonts w:hint="eastAsia" w:ascii="宋体" w:hAnsi="宋体"/>
        </w:rPr>
        <w:t>生产许可证、行业许可证、有关的鉴定材料等。</w:t>
      </w:r>
    </w:p>
    <w:p>
      <w:pPr>
        <w:numPr>
          <w:ilvl w:val="0"/>
          <w:numId w:val="5"/>
        </w:numPr>
        <w:spacing w:line="240" w:lineRule="auto"/>
        <w:ind w:firstLine="120"/>
        <w:rPr>
          <w:rFonts w:hint="eastAsia" w:ascii="宋体" w:hAnsi="宋体"/>
        </w:rPr>
      </w:pPr>
      <w:r>
        <w:rPr>
          <w:rFonts w:hint="eastAsia" w:ascii="宋体" w:hAnsi="宋体"/>
        </w:rPr>
        <w:t>近几年内与此项目相关的业绩合同。</w:t>
      </w:r>
    </w:p>
    <w:p>
      <w:pPr>
        <w:numPr>
          <w:ilvl w:val="0"/>
          <w:numId w:val="5"/>
        </w:numPr>
        <w:spacing w:line="240" w:lineRule="auto"/>
        <w:ind w:firstLine="120"/>
        <w:rPr>
          <w:rFonts w:hint="eastAsia" w:ascii="宋体" w:hAnsi="宋体"/>
        </w:rPr>
      </w:pPr>
      <w:r>
        <w:rPr>
          <w:rFonts w:hint="eastAsia" w:ascii="宋体" w:hAnsi="宋体"/>
        </w:rPr>
        <w:t>投标有效期。</w:t>
      </w:r>
    </w:p>
    <w:p>
      <w:pPr>
        <w:numPr>
          <w:ilvl w:val="0"/>
          <w:numId w:val="5"/>
        </w:numPr>
        <w:spacing w:line="240" w:lineRule="auto"/>
        <w:ind w:firstLine="120"/>
        <w:rPr>
          <w:rFonts w:hint="eastAsia" w:ascii="宋体" w:hAnsi="宋体"/>
          <w:bCs/>
        </w:rPr>
      </w:pPr>
      <w:r>
        <w:rPr>
          <w:rFonts w:hint="eastAsia" w:ascii="宋体" w:hAnsi="宋体"/>
          <w:bCs/>
        </w:rPr>
        <w:t>投标项目的具体明细（不含报价）。</w:t>
      </w:r>
    </w:p>
    <w:p>
      <w:pPr>
        <w:numPr>
          <w:ilvl w:val="0"/>
          <w:numId w:val="5"/>
        </w:numPr>
        <w:spacing w:line="240" w:lineRule="auto"/>
        <w:ind w:firstLine="120"/>
        <w:rPr>
          <w:rFonts w:ascii="宋体" w:hAnsi="宋体"/>
          <w:bCs/>
        </w:rPr>
      </w:pPr>
      <w:r>
        <w:rPr>
          <w:rFonts w:hint="eastAsia" w:ascii="宋体" w:hAnsi="宋体"/>
          <w:bCs/>
        </w:rPr>
        <w:t>联合体投标人提供的联合协议。</w:t>
      </w:r>
    </w:p>
    <w:p>
      <w:pPr>
        <w:numPr>
          <w:ilvl w:val="0"/>
          <w:numId w:val="4"/>
        </w:numPr>
        <w:spacing w:line="240" w:lineRule="auto"/>
        <w:rPr>
          <w:rFonts w:hint="eastAsia" w:ascii="宋体" w:hAnsi="宋体"/>
          <w:bCs/>
        </w:rPr>
      </w:pPr>
      <w:r>
        <w:rPr>
          <w:rFonts w:hint="eastAsia" w:ascii="宋体" w:hAnsi="宋体"/>
          <w:bCs/>
        </w:rPr>
        <w:t>技术文件：包括投标方案及其说明等。</w:t>
      </w:r>
    </w:p>
    <w:p>
      <w:pPr>
        <w:numPr>
          <w:ilvl w:val="0"/>
          <w:numId w:val="4"/>
        </w:numPr>
        <w:spacing w:line="240" w:lineRule="auto"/>
        <w:rPr>
          <w:rFonts w:ascii="宋体" w:hAnsi="宋体"/>
          <w:bCs/>
        </w:rPr>
      </w:pPr>
      <w:r>
        <w:rPr>
          <w:rFonts w:hint="eastAsia" w:ascii="宋体" w:hAnsi="宋体"/>
          <w:bCs/>
        </w:rPr>
        <w:t>价格文件：一份即可，必须单独密封。投标人必须填写投标报价表，设备价格为含税到厂价，并注明税率。</w:t>
      </w:r>
    </w:p>
    <w:p>
      <w:pPr>
        <w:numPr>
          <w:ilvl w:val="0"/>
          <w:numId w:val="4"/>
        </w:numPr>
        <w:spacing w:line="240" w:lineRule="auto"/>
        <w:ind w:left="1123" w:hanging="703"/>
        <w:rPr>
          <w:rFonts w:ascii="宋体" w:hAnsi="宋体"/>
        </w:rPr>
      </w:pPr>
      <w:r>
        <w:rPr>
          <w:rFonts w:hint="eastAsia" w:ascii="宋体" w:hAnsi="宋体"/>
          <w:bCs/>
        </w:rPr>
        <w:t>其它文件：包括</w:t>
      </w:r>
      <w:r>
        <w:rPr>
          <w:rFonts w:hint="eastAsia" w:ascii="宋体" w:hAnsi="宋体"/>
        </w:rPr>
        <w:t>商务、技术偏差表或不满足招标文件的差异说明，招标文件要求具备的其他内容，以及投标人额外承诺或补充说明等。对所安装的设备提供土建条件相关资料。</w:t>
      </w:r>
    </w:p>
    <w:p>
      <w:pPr>
        <w:spacing w:line="240" w:lineRule="auto"/>
        <w:rPr>
          <w:rFonts w:ascii="宋体" w:hAnsi="宋体"/>
          <w:b/>
        </w:rPr>
      </w:pPr>
      <w:r>
        <w:rPr>
          <w:rFonts w:hint="eastAsia" w:ascii="宋体" w:hAnsi="宋体"/>
          <w:b/>
        </w:rPr>
        <w:t>五、投标费用</w:t>
      </w:r>
    </w:p>
    <w:p>
      <w:pPr>
        <w:spacing w:line="240" w:lineRule="auto"/>
        <w:ind w:left="480" w:leftChars="200" w:firstLine="480" w:firstLineChars="200"/>
        <w:rPr>
          <w:rFonts w:hint="eastAsia" w:ascii="宋体" w:hAnsi="宋体"/>
        </w:rPr>
      </w:pPr>
      <w:r>
        <w:rPr>
          <w:rFonts w:hint="eastAsia" w:ascii="宋体" w:hAnsi="宋体"/>
        </w:rPr>
        <w:t>无论投标过程中的做法和结果如何，投标人承担所有与准备递交投标文件有关的费用，芜湖新兴铸管有限责任公司在任何情况下不负担这些费用。</w:t>
      </w:r>
    </w:p>
    <w:p>
      <w:pPr>
        <w:spacing w:line="240" w:lineRule="auto"/>
        <w:rPr>
          <w:rFonts w:ascii="宋体" w:hAnsi="宋体"/>
          <w:b/>
        </w:rPr>
      </w:pPr>
      <w:r>
        <w:rPr>
          <w:rFonts w:hint="eastAsia" w:ascii="宋体" w:hAnsi="宋体"/>
          <w:b/>
        </w:rPr>
        <w:t>六、投标人建议</w:t>
      </w:r>
    </w:p>
    <w:p>
      <w:pPr>
        <w:spacing w:line="240" w:lineRule="auto"/>
        <w:ind w:left="480" w:firstLine="480" w:firstLineChars="200"/>
        <w:rPr>
          <w:rFonts w:ascii="宋体" w:hAnsi="宋体"/>
        </w:rPr>
      </w:pPr>
      <w:r>
        <w:rPr>
          <w:rFonts w:hint="eastAsia" w:ascii="宋体" w:hAnsi="宋体"/>
        </w:rPr>
        <w:t>投标人可提出补充建议或说明，提出比招标文件的要求更为合理的方案。</w:t>
      </w:r>
    </w:p>
    <w:p>
      <w:pPr>
        <w:spacing w:line="240" w:lineRule="auto"/>
        <w:rPr>
          <w:rFonts w:hint="eastAsia" w:ascii="宋体" w:hAnsi="宋体"/>
          <w:b/>
        </w:rPr>
      </w:pPr>
      <w:r>
        <w:rPr>
          <w:rFonts w:hint="eastAsia" w:ascii="宋体" w:hAnsi="宋体"/>
          <w:b/>
        </w:rPr>
        <w:t>七、投标文件的份数和签署</w:t>
      </w:r>
    </w:p>
    <w:p>
      <w:pPr>
        <w:numPr>
          <w:ilvl w:val="0"/>
          <w:numId w:val="6"/>
        </w:numPr>
        <w:spacing w:line="240" w:lineRule="auto"/>
        <w:ind w:left="0" w:leftChars="0" w:firstLine="480" w:firstLineChars="200"/>
        <w:rPr>
          <w:rFonts w:ascii="宋体" w:hAnsi="宋体"/>
          <w:bCs/>
        </w:rPr>
      </w:pPr>
      <w:r>
        <w:rPr>
          <w:rFonts w:hint="eastAsia" w:ascii="宋体" w:hAnsi="宋体"/>
        </w:rPr>
        <w:t>标书</w:t>
      </w:r>
      <w:r>
        <w:rPr>
          <w:rFonts w:ascii="宋体" w:hAnsi="宋体"/>
        </w:rPr>
        <w:t>一式</w:t>
      </w:r>
      <w:r>
        <w:rPr>
          <w:rFonts w:hint="eastAsia" w:ascii="宋体" w:hAnsi="宋体"/>
        </w:rPr>
        <w:t>四</w:t>
      </w:r>
      <w:r>
        <w:rPr>
          <w:rFonts w:ascii="宋体" w:hAnsi="宋体"/>
        </w:rPr>
        <w:t>份，正本一份，副本</w:t>
      </w:r>
      <w:r>
        <w:rPr>
          <w:rFonts w:hint="eastAsia" w:ascii="宋体" w:hAnsi="宋体"/>
        </w:rPr>
        <w:t>三</w:t>
      </w:r>
      <w:r>
        <w:rPr>
          <w:rFonts w:ascii="宋体" w:hAnsi="宋体"/>
        </w:rPr>
        <w:t>份</w:t>
      </w:r>
      <w:r>
        <w:rPr>
          <w:rFonts w:hint="eastAsia" w:ascii="宋体" w:hAnsi="宋体"/>
          <w:bCs/>
        </w:rPr>
        <w:t>，价格文件：一份即可，必须单独密封。</w:t>
      </w:r>
    </w:p>
    <w:p>
      <w:pPr>
        <w:numPr>
          <w:ilvl w:val="0"/>
          <w:numId w:val="6"/>
        </w:numPr>
        <w:spacing w:line="240" w:lineRule="auto"/>
        <w:ind w:left="0" w:leftChars="0" w:firstLine="480" w:firstLineChars="200"/>
        <w:rPr>
          <w:rFonts w:hint="eastAsia" w:ascii="宋体" w:hAnsi="宋体"/>
        </w:rPr>
      </w:pPr>
      <w:r>
        <w:rPr>
          <w:rFonts w:hint="eastAsia" w:ascii="宋体" w:hAnsi="宋体"/>
        </w:rPr>
        <w:t>标书、</w:t>
      </w:r>
      <w:r>
        <w:rPr>
          <w:rFonts w:ascii="宋体" w:hAnsi="宋体"/>
        </w:rPr>
        <w:t>报价表均加盖公章。</w:t>
      </w:r>
    </w:p>
    <w:p>
      <w:pPr>
        <w:spacing w:line="240" w:lineRule="auto"/>
        <w:rPr>
          <w:rFonts w:hint="eastAsia" w:ascii="宋体" w:hAnsi="宋体"/>
          <w:b/>
        </w:rPr>
      </w:pPr>
      <w:r>
        <w:rPr>
          <w:rFonts w:hint="eastAsia" w:ascii="宋体" w:hAnsi="宋体"/>
          <w:b/>
        </w:rPr>
        <w:t>八、投标报价</w:t>
      </w:r>
    </w:p>
    <w:p>
      <w:pPr>
        <w:pStyle w:val="6"/>
        <w:numPr>
          <w:ilvl w:val="0"/>
          <w:numId w:val="7"/>
        </w:numPr>
        <w:spacing w:line="240" w:lineRule="auto"/>
        <w:ind w:left="0" w:leftChars="0" w:firstLine="480" w:firstLineChars="200"/>
        <w:rPr>
          <w:rFonts w:hint="eastAsia" w:ascii="宋体" w:hAnsi="宋体"/>
          <w:b/>
          <w:bCs/>
        </w:rPr>
      </w:pPr>
      <w:r>
        <w:rPr>
          <w:rFonts w:ascii="宋体" w:hAnsi="宋体"/>
        </w:rPr>
        <w:t>投标人应严格按照招标文件提供的格式认真填写价格表。</w:t>
      </w:r>
    </w:p>
    <w:p>
      <w:pPr>
        <w:pStyle w:val="6"/>
        <w:numPr>
          <w:ilvl w:val="0"/>
          <w:numId w:val="7"/>
        </w:numPr>
        <w:spacing w:line="240" w:lineRule="auto"/>
        <w:ind w:left="0" w:leftChars="0" w:firstLine="480" w:firstLineChars="200"/>
        <w:rPr>
          <w:rFonts w:hint="eastAsia" w:ascii="宋体" w:hAnsi="宋体"/>
          <w:b/>
          <w:bCs/>
          <w:color w:val="FF0000"/>
        </w:rPr>
      </w:pPr>
      <w:r>
        <w:t>若单</w:t>
      </w:r>
      <w:r>
        <w:rPr>
          <w:rFonts w:ascii="宋体" w:hAnsi="宋体"/>
        </w:rPr>
        <w:t>价</w:t>
      </w:r>
      <w:r>
        <w:rPr>
          <w:rFonts w:hint="eastAsia" w:ascii="宋体" w:hAnsi="宋体"/>
        </w:rPr>
        <w:t>（含分项报价）</w:t>
      </w:r>
      <w:r>
        <w:rPr>
          <w:rFonts w:ascii="宋体" w:hAnsi="宋体"/>
        </w:rPr>
        <w:t>和总价有差异，则以单价</w:t>
      </w:r>
      <w:r>
        <w:rPr>
          <w:rFonts w:hint="eastAsia" w:ascii="宋体" w:hAnsi="宋体"/>
        </w:rPr>
        <w:t>（含分项报价）</w:t>
      </w:r>
      <w:r>
        <w:rPr>
          <w:rFonts w:ascii="宋体" w:hAnsi="宋体"/>
        </w:rPr>
        <w:t>为准，并对总价进行修正；若数字和文字表示的金额之间有差</w:t>
      </w:r>
      <w:r>
        <w:t>异，则以文字金额为准，并对数字做相应的修正；若正本与副本有差异，则以正本为准。</w:t>
      </w:r>
    </w:p>
    <w:p>
      <w:pPr>
        <w:spacing w:line="240" w:lineRule="auto"/>
        <w:rPr>
          <w:rFonts w:ascii="宋体" w:hAnsi="宋体"/>
          <w:b/>
        </w:rPr>
      </w:pPr>
      <w:r>
        <w:rPr>
          <w:rFonts w:hint="eastAsia" w:ascii="宋体" w:hAnsi="宋体"/>
          <w:b/>
        </w:rPr>
        <w:t>九、投标文件的递交</w:t>
      </w:r>
    </w:p>
    <w:p>
      <w:pPr>
        <w:numPr>
          <w:ilvl w:val="0"/>
          <w:numId w:val="8"/>
        </w:numPr>
        <w:spacing w:line="240" w:lineRule="auto"/>
        <w:ind w:left="0" w:leftChars="0" w:firstLine="480" w:firstLineChars="200"/>
        <w:rPr>
          <w:rFonts w:ascii="宋体" w:hAnsi="宋体"/>
          <w:kern w:val="0"/>
        </w:rPr>
      </w:pPr>
      <w:r>
        <w:rPr>
          <w:rFonts w:ascii="宋体" w:hAnsi="宋体"/>
          <w:kern w:val="0"/>
        </w:rPr>
        <w:t>投标文件有密封与标记</w:t>
      </w:r>
      <w:r>
        <w:rPr>
          <w:rFonts w:hint="eastAsia" w:ascii="宋体" w:hAnsi="宋体"/>
          <w:kern w:val="0"/>
          <w:lang w:eastAsia="zh-CN"/>
        </w:rPr>
        <w:t>。</w:t>
      </w:r>
    </w:p>
    <w:p>
      <w:pPr>
        <w:widowControl/>
        <w:numPr>
          <w:ilvl w:val="0"/>
          <w:numId w:val="8"/>
        </w:numPr>
        <w:tabs>
          <w:tab w:val="left" w:pos="360"/>
          <w:tab w:val="left" w:pos="720"/>
          <w:tab w:val="left" w:pos="1050"/>
        </w:tabs>
        <w:spacing w:line="240" w:lineRule="auto"/>
        <w:ind w:left="0" w:leftChars="0" w:firstLine="480" w:firstLineChars="200"/>
        <w:jc w:val="left"/>
        <w:rPr>
          <w:rFonts w:hint="eastAsia" w:ascii="宋体" w:hAnsi="宋体"/>
          <w:kern w:val="0"/>
        </w:rPr>
      </w:pPr>
      <w:r>
        <w:rPr>
          <w:rFonts w:ascii="宋体" w:hAnsi="宋体"/>
          <w:kern w:val="0"/>
        </w:rPr>
        <w:t>投标文件的每份正本、副本均应用档案袋分别密封，密封上应加盖投标人公章。</w:t>
      </w:r>
    </w:p>
    <w:p>
      <w:pPr>
        <w:widowControl/>
        <w:numPr>
          <w:ilvl w:val="0"/>
          <w:numId w:val="8"/>
        </w:numPr>
        <w:spacing w:line="240" w:lineRule="auto"/>
        <w:ind w:left="0" w:leftChars="0" w:firstLine="480" w:firstLineChars="200"/>
        <w:jc w:val="left"/>
        <w:rPr>
          <w:rFonts w:hint="eastAsia" w:ascii="宋体" w:hAnsi="宋体"/>
          <w:kern w:val="0"/>
        </w:rPr>
      </w:pPr>
      <w:r>
        <w:rPr>
          <w:rFonts w:ascii="宋体" w:hAnsi="宋体"/>
          <w:kern w:val="0"/>
        </w:rPr>
        <w:t>投标商</w:t>
      </w:r>
      <w:r>
        <w:rPr>
          <w:rFonts w:hint="eastAsia" w:ascii="宋体" w:hAnsi="宋体"/>
          <w:kern w:val="0"/>
        </w:rPr>
        <w:t>应在开标前将投标文件送达到指定地点，逾期未到的都将视为弃权。如因特殊客观原因，投标人应于开标前告知招标人，并得到其同意者除外。</w:t>
      </w:r>
    </w:p>
    <w:p>
      <w:pPr>
        <w:widowControl/>
        <w:numPr>
          <w:ilvl w:val="0"/>
          <w:numId w:val="8"/>
        </w:numPr>
        <w:spacing w:line="240" w:lineRule="auto"/>
        <w:ind w:left="0" w:leftChars="0" w:firstLine="480" w:firstLineChars="200"/>
        <w:jc w:val="left"/>
        <w:rPr>
          <w:rFonts w:hint="eastAsia" w:ascii="宋体" w:hAnsi="宋体"/>
          <w:kern w:val="0"/>
        </w:rPr>
      </w:pPr>
      <w:r>
        <w:rPr>
          <w:rFonts w:hint="eastAsia" w:ascii="宋体" w:hAnsi="宋体"/>
          <w:kern w:val="0"/>
        </w:rPr>
        <w:t>投标人不得在开标当日至投标有效期满前撤回投标文件，否则其投标保证金将不予退还。</w:t>
      </w:r>
    </w:p>
    <w:p>
      <w:pPr>
        <w:tabs>
          <w:tab w:val="left" w:pos="735"/>
        </w:tabs>
        <w:spacing w:line="240" w:lineRule="auto"/>
        <w:rPr>
          <w:rFonts w:ascii="宋体" w:hAnsi="宋体"/>
          <w:b/>
        </w:rPr>
      </w:pPr>
      <w:r>
        <w:rPr>
          <w:rFonts w:hint="eastAsia" w:ascii="宋体" w:hAnsi="宋体"/>
          <w:b/>
        </w:rPr>
        <w:t>十、无效投标</w:t>
      </w:r>
    </w:p>
    <w:p>
      <w:pPr>
        <w:tabs>
          <w:tab w:val="left" w:pos="735"/>
        </w:tabs>
        <w:spacing w:line="240" w:lineRule="auto"/>
        <w:ind w:firstLine="480" w:firstLineChars="200"/>
        <w:rPr>
          <w:rFonts w:hint="eastAsia" w:ascii="宋体" w:hAnsi="宋体"/>
          <w:kern w:val="0"/>
        </w:rPr>
      </w:pPr>
      <w:r>
        <w:rPr>
          <w:rFonts w:hint="eastAsia" w:ascii="宋体" w:hAnsi="宋体"/>
          <w:kern w:val="0"/>
        </w:rPr>
        <w:t>发生下列情况之一者，视为无效投标。</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投标文件未按规定加盖公章和签字。</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投标文件字迹模糊、无法辨认影响评标的。</w:t>
      </w:r>
    </w:p>
    <w:p>
      <w:pPr>
        <w:widowControl/>
        <w:numPr>
          <w:ilvl w:val="0"/>
          <w:numId w:val="9"/>
        </w:numPr>
        <w:spacing w:line="240" w:lineRule="auto"/>
        <w:ind w:left="0" w:firstLine="480" w:firstLineChars="200"/>
        <w:jc w:val="left"/>
        <w:rPr>
          <w:rFonts w:ascii="宋体" w:hAnsi="宋体"/>
          <w:bCs/>
          <w:kern w:val="0"/>
        </w:rPr>
      </w:pPr>
      <w:r>
        <w:rPr>
          <w:rFonts w:hint="eastAsia" w:ascii="宋体" w:hAnsi="宋体"/>
          <w:bCs/>
          <w:kern w:val="0"/>
        </w:rPr>
        <w:t>授权委托书未加盖单位公章和法定代表人印章（或签字）的。</w:t>
      </w:r>
    </w:p>
    <w:p>
      <w:pPr>
        <w:widowControl/>
        <w:numPr>
          <w:ilvl w:val="0"/>
          <w:numId w:val="9"/>
        </w:numPr>
        <w:spacing w:line="240" w:lineRule="auto"/>
        <w:ind w:left="0" w:firstLine="480" w:firstLineChars="200"/>
        <w:jc w:val="left"/>
        <w:rPr>
          <w:rFonts w:ascii="宋体" w:hAnsi="宋体"/>
          <w:bCs/>
          <w:kern w:val="0"/>
        </w:rPr>
      </w:pPr>
      <w:r>
        <w:rPr>
          <w:rFonts w:hint="eastAsia"/>
          <w:kern w:val="0"/>
        </w:rPr>
        <w:t>投标人以任何形式干扰招投标工作公开、公正进行的。</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投标人企业资质不全或无资质的。</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附有招标人不能接受的条件的。</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在投标文件中有两个以上的报价，且未明确哪个报价有效。</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以联合体方式投标而无共同投标协议的。</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以他人名义投标的。</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未按招标文件要求提交投标保证金的。</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投标人串通投标、弄虚作假或者以行贿、欺骗等不正当手段谋取中标的。</w:t>
      </w:r>
    </w:p>
    <w:p>
      <w:pPr>
        <w:widowControl/>
        <w:numPr>
          <w:ilvl w:val="0"/>
          <w:numId w:val="9"/>
        </w:numPr>
        <w:spacing w:line="240" w:lineRule="auto"/>
        <w:ind w:left="0" w:firstLine="480" w:firstLineChars="200"/>
        <w:jc w:val="left"/>
        <w:rPr>
          <w:rFonts w:ascii="宋体" w:hAnsi="宋体"/>
          <w:b w:val="0"/>
          <w:bCs/>
        </w:rPr>
      </w:pPr>
      <w:r>
        <w:rPr>
          <w:rFonts w:hint="eastAsia" w:ascii="宋体" w:hAnsi="宋体"/>
          <w:b w:val="0"/>
          <w:bCs/>
          <w:kern w:val="0"/>
        </w:rPr>
        <w:t>投标文件与招标文件存在严重背离等其他问题的。</w:t>
      </w:r>
    </w:p>
    <w:p>
      <w:pPr>
        <w:spacing w:line="240" w:lineRule="auto"/>
        <w:rPr>
          <w:rFonts w:hint="eastAsia" w:ascii="宋体" w:hAnsi="宋体" w:eastAsia="宋体"/>
          <w:b/>
          <w:lang w:eastAsia="zh-CN"/>
        </w:rPr>
      </w:pPr>
      <w:r>
        <w:rPr>
          <w:rFonts w:hint="eastAsia" w:ascii="宋体" w:hAnsi="宋体"/>
          <w:b/>
        </w:rPr>
        <w:t>十一、</w:t>
      </w:r>
      <w:r>
        <w:rPr>
          <w:rFonts w:hint="eastAsia" w:ascii="宋体" w:hAnsi="宋体"/>
          <w:b/>
          <w:lang w:val="en-US" w:eastAsia="zh-CN"/>
        </w:rPr>
        <w:t>结算及付款方式：</w:t>
      </w:r>
    </w:p>
    <w:p>
      <w:pPr>
        <w:numPr>
          <w:ilvl w:val="0"/>
          <w:numId w:val="10"/>
        </w:numPr>
        <w:spacing w:line="240" w:lineRule="auto"/>
        <w:ind w:left="0" w:leftChars="0" w:firstLine="480" w:firstLineChars="200"/>
        <w:rPr>
          <w:rFonts w:ascii="宋体" w:hAnsi="宋体"/>
        </w:rPr>
      </w:pPr>
      <w:r>
        <w:rPr>
          <w:rFonts w:hint="eastAsia" w:ascii="宋体" w:hAnsi="宋体"/>
          <w:lang w:val="en-US" w:eastAsia="zh-CN"/>
        </w:rPr>
        <w:t>结算方式：货到安装完毕后，发票入账后次月付款95</w:t>
      </w:r>
      <w:r>
        <w:rPr>
          <w:rFonts w:hint="eastAsia" w:ascii="宋体" w:hAnsi="宋体"/>
        </w:rPr>
        <w:t>%，剩</w:t>
      </w:r>
      <w:r>
        <w:rPr>
          <w:rFonts w:hint="eastAsia" w:ascii="宋体" w:hAnsi="宋体"/>
          <w:lang w:val="en-US" w:eastAsia="zh-CN"/>
        </w:rPr>
        <w:t>5</w:t>
      </w:r>
      <w:r>
        <w:rPr>
          <w:rFonts w:hint="eastAsia" w:ascii="宋体" w:hAnsi="宋体"/>
        </w:rPr>
        <w:t>%做为质保金，质保</w:t>
      </w:r>
      <w:r>
        <w:rPr>
          <w:rFonts w:hint="eastAsia" w:ascii="宋体" w:hAnsi="宋体"/>
          <w:lang w:val="en-US" w:eastAsia="zh-CN"/>
        </w:rPr>
        <w:t>一年</w:t>
      </w:r>
      <w:r>
        <w:rPr>
          <w:rFonts w:hint="eastAsia" w:ascii="宋体" w:hAnsi="宋体"/>
        </w:rPr>
        <w:t>期满后结清。</w:t>
      </w:r>
      <w:r>
        <w:rPr>
          <w:rFonts w:hint="eastAsia" w:ascii="宋体" w:hAnsi="宋体"/>
          <w:lang w:val="en-US" w:eastAsia="zh-CN"/>
        </w:rPr>
        <w:t>付款方式：转账现汇</w:t>
      </w:r>
      <w:r>
        <w:rPr>
          <w:rFonts w:hint="eastAsia" w:ascii="宋体" w:hAnsi="宋体"/>
        </w:rPr>
        <w:t>。</w:t>
      </w:r>
    </w:p>
    <w:p>
      <w:pPr>
        <w:numPr>
          <w:ilvl w:val="0"/>
          <w:numId w:val="0"/>
        </w:numPr>
        <w:spacing w:line="240" w:lineRule="auto"/>
        <w:rPr>
          <w:rFonts w:hint="eastAsia" w:ascii="宋体" w:hAnsi="宋体"/>
          <w:b/>
        </w:rPr>
      </w:pPr>
      <w:r>
        <w:rPr>
          <w:rFonts w:hint="eastAsia" w:ascii="宋体" w:hAnsi="宋体"/>
          <w:b/>
        </w:rPr>
        <w:t>十二、评标标准</w:t>
      </w:r>
    </w:p>
    <w:p>
      <w:pPr>
        <w:spacing w:line="240" w:lineRule="auto"/>
        <w:ind w:left="730" w:leftChars="304"/>
        <w:rPr>
          <w:rFonts w:hint="eastAsia" w:ascii="宋体" w:hAnsi="宋体" w:cs="宋体"/>
        </w:rPr>
      </w:pPr>
      <w:r>
        <w:rPr>
          <w:rFonts w:hint="eastAsia" w:ascii="宋体" w:hAnsi="宋体" w:cs="宋体"/>
        </w:rPr>
        <w:t>本次采取综合评分方式进行评标。</w:t>
      </w:r>
    </w:p>
    <w:p>
      <w:pPr>
        <w:spacing w:line="240" w:lineRule="auto"/>
        <w:ind w:left="730" w:leftChars="304"/>
        <w:rPr>
          <w:rFonts w:hint="default" w:ascii="宋体" w:hAnsi="宋体" w:eastAsia="宋体" w:cs="宋体"/>
          <w:lang w:val="en-US" w:eastAsia="zh-CN"/>
        </w:rPr>
      </w:pPr>
      <w:r>
        <w:rPr>
          <w:rFonts w:hint="eastAsia" w:ascii="宋体" w:hAnsi="宋体" w:cs="宋体"/>
          <w:lang w:val="en-US" w:eastAsia="zh-CN"/>
        </w:rPr>
        <w:t>本次招标采用一次报价评标。</w:t>
      </w:r>
    </w:p>
    <w:p>
      <w:pPr>
        <w:spacing w:line="240" w:lineRule="auto"/>
        <w:ind w:left="730" w:leftChars="304"/>
        <w:rPr>
          <w:rFonts w:hint="eastAsia" w:ascii="宋体" w:hAnsi="宋体" w:eastAsia="宋体" w:cs="宋体"/>
          <w:color w:val="auto"/>
          <w:sz w:val="24"/>
          <w:szCs w:val="24"/>
        </w:rPr>
      </w:pPr>
      <w:r>
        <w:rPr>
          <w:rFonts w:hint="eastAsia" w:ascii="宋体" w:hAnsi="宋体" w:eastAsia="宋体" w:cs="宋体"/>
          <w:color w:val="auto"/>
          <w:sz w:val="24"/>
          <w:szCs w:val="24"/>
        </w:rPr>
        <w:t>由评标委员会评分，按分数从高到低顺序推荐中标候选单位。</w:t>
      </w:r>
    </w:p>
    <w:p>
      <w:pPr>
        <w:spacing w:line="240" w:lineRule="auto"/>
        <w:ind w:left="730" w:leftChars="304"/>
        <w:rPr>
          <w:b/>
        </w:rPr>
      </w:pPr>
      <w:r>
        <w:rPr>
          <w:rFonts w:hint="eastAsia" w:ascii="宋体" w:hAnsi="宋体" w:cs="宋体"/>
          <w:color w:val="auto"/>
          <w:sz w:val="24"/>
          <w:szCs w:val="24"/>
          <w:lang w:val="en-US" w:eastAsia="zh-CN"/>
        </w:rPr>
        <w:t>评分标准：价格50分，质量30分；资质、装备及工艺技术水平、业绩5分，服务、工期及资金状况15分。</w:t>
      </w:r>
    </w:p>
    <w:p>
      <w:pPr>
        <w:spacing w:line="240" w:lineRule="auto"/>
        <w:rPr>
          <w:rFonts w:hint="eastAsia"/>
          <w:b/>
        </w:rPr>
      </w:pPr>
      <w:r>
        <w:rPr>
          <w:rFonts w:hint="eastAsia"/>
          <w:b/>
        </w:rPr>
        <w:t>十三、其他要求</w:t>
      </w:r>
    </w:p>
    <w:p>
      <w:pPr>
        <w:numPr>
          <w:ilvl w:val="0"/>
          <w:numId w:val="0"/>
        </w:numPr>
        <w:adjustRightInd w:val="0"/>
        <w:snapToGrid w:val="0"/>
        <w:spacing w:line="240" w:lineRule="auto"/>
        <w:ind w:firstLine="480" w:firstLineChars="200"/>
        <w:jc w:val="left"/>
        <w:rPr>
          <w:rFonts w:hint="eastAsia"/>
        </w:rPr>
      </w:pPr>
      <w:r>
        <w:rPr>
          <w:rFonts w:hint="eastAsia"/>
        </w:rPr>
        <w:t>基本要求：浴室防水更衣柜。</w:t>
      </w:r>
    </w:p>
    <w:p>
      <w:pPr>
        <w:numPr>
          <w:ilvl w:val="0"/>
          <w:numId w:val="0"/>
        </w:numPr>
        <w:adjustRightInd w:val="0"/>
        <w:snapToGrid w:val="0"/>
        <w:spacing w:line="240" w:lineRule="auto"/>
        <w:ind w:firstLine="480" w:firstLineChars="200"/>
        <w:jc w:val="left"/>
        <w:rPr>
          <w:rFonts w:hint="eastAsia"/>
        </w:rPr>
      </w:pPr>
      <w:r>
        <w:rPr>
          <w:rFonts w:hint="eastAsia"/>
        </w:rPr>
        <w:t>材质要求：ABS塑料材质，厚度不低于4mm。</w:t>
      </w:r>
    </w:p>
    <w:p>
      <w:pPr>
        <w:numPr>
          <w:ilvl w:val="0"/>
          <w:numId w:val="0"/>
        </w:numPr>
        <w:adjustRightInd w:val="0"/>
        <w:snapToGrid w:val="0"/>
        <w:spacing w:line="240" w:lineRule="auto"/>
        <w:ind w:firstLine="480" w:firstLineChars="200"/>
        <w:jc w:val="left"/>
        <w:rPr>
          <w:rFonts w:hint="eastAsia"/>
          <w:lang w:eastAsia="zh-CN"/>
        </w:rPr>
      </w:pPr>
      <w:r>
        <w:rPr>
          <w:rFonts w:hint="eastAsia"/>
        </w:rPr>
        <w:t>尺寸要求：更衣柜6个一组，整体尺寸：高1940mm×960mm×450mm，单个柜子尺寸：高930mm×320mm×450mm。</w:t>
      </w:r>
      <w:r>
        <w:rPr>
          <w:rFonts w:hint="eastAsia"/>
          <w:lang w:eastAsia="zh-CN"/>
        </w:rPr>
        <w:t>（</w:t>
      </w:r>
      <w:r>
        <w:rPr>
          <w:rFonts w:hint="eastAsia"/>
          <w:lang w:val="en-US" w:eastAsia="zh-CN"/>
        </w:rPr>
        <w:t>整体尺寸可以有正负30mm的调整，单个柜子同比例调整</w:t>
      </w:r>
      <w:r>
        <w:rPr>
          <w:rFonts w:hint="eastAsia"/>
          <w:lang w:eastAsia="zh-CN"/>
        </w:rPr>
        <w:t>）</w:t>
      </w:r>
    </w:p>
    <w:p>
      <w:pPr>
        <w:numPr>
          <w:ilvl w:val="0"/>
          <w:numId w:val="0"/>
        </w:numPr>
        <w:adjustRightInd w:val="0"/>
        <w:snapToGrid w:val="0"/>
        <w:spacing w:line="240" w:lineRule="auto"/>
        <w:ind w:firstLine="480" w:firstLineChars="200"/>
        <w:jc w:val="left"/>
        <w:rPr>
          <w:rFonts w:hint="default"/>
          <w:lang w:val="en-US" w:eastAsia="zh-CN"/>
        </w:rPr>
      </w:pPr>
      <w:r>
        <w:rPr>
          <w:rFonts w:hint="eastAsia"/>
          <w:lang w:val="en-US" w:eastAsia="zh-CN"/>
        </w:rPr>
        <w:t>门锁要求：不锈钢防水防锈门锁和钥匙（每门至少两把钥匙）</w:t>
      </w:r>
    </w:p>
    <w:p>
      <w:pPr>
        <w:numPr>
          <w:ilvl w:val="0"/>
          <w:numId w:val="0"/>
        </w:numPr>
        <w:adjustRightInd w:val="0"/>
        <w:snapToGrid w:val="0"/>
        <w:spacing w:line="240" w:lineRule="auto"/>
        <w:ind w:firstLine="480" w:firstLineChars="200"/>
        <w:jc w:val="left"/>
        <w:rPr>
          <w:rFonts w:hint="eastAsia"/>
          <w:lang w:val="en-US" w:eastAsia="zh-CN"/>
        </w:rPr>
      </w:pPr>
      <w:r>
        <w:rPr>
          <w:rFonts w:hint="eastAsia"/>
        </w:rPr>
        <w:t>颜色要求：多色可选（至少6色）</w:t>
      </w:r>
      <w:r>
        <w:rPr>
          <w:rFonts w:hint="eastAsia"/>
          <w:lang w:eastAsia="zh-CN"/>
        </w:rPr>
        <w:t>，</w:t>
      </w:r>
      <w:r>
        <w:rPr>
          <w:rFonts w:hint="eastAsia"/>
          <w:lang w:val="en-US" w:eastAsia="zh-CN"/>
        </w:rPr>
        <w:t>具体颜色数量现场确定。</w:t>
      </w:r>
    </w:p>
    <w:p>
      <w:pPr>
        <w:numPr>
          <w:ilvl w:val="0"/>
          <w:numId w:val="0"/>
        </w:numPr>
        <w:adjustRightInd w:val="0"/>
        <w:snapToGrid w:val="0"/>
        <w:spacing w:line="240" w:lineRule="auto"/>
        <w:ind w:firstLine="480" w:firstLineChars="200"/>
        <w:jc w:val="left"/>
        <w:rPr>
          <w:rFonts w:hint="eastAsia"/>
          <w:lang w:val="en-US" w:eastAsia="zh-CN"/>
        </w:rPr>
      </w:pPr>
    </w:p>
    <w:p>
      <w:pPr>
        <w:numPr>
          <w:ilvl w:val="0"/>
          <w:numId w:val="0"/>
        </w:numPr>
        <w:adjustRightInd w:val="0"/>
        <w:snapToGrid w:val="0"/>
        <w:spacing w:line="240" w:lineRule="auto"/>
        <w:ind w:firstLine="480" w:firstLineChars="200"/>
        <w:jc w:val="left"/>
        <w:rPr>
          <w:rFonts w:hint="default"/>
          <w:lang w:val="en-US" w:eastAsia="zh-CN"/>
        </w:rPr>
      </w:pPr>
      <w:r>
        <w:rPr>
          <w:rFonts w:hint="eastAsia"/>
          <w:lang w:val="en-US" w:eastAsia="zh-CN"/>
        </w:rPr>
        <w:t>中标单位需按照指定地点，按照颜色要求，负责所有所有更衣柜的安装和摆放。</w:t>
      </w:r>
    </w:p>
    <w:p>
      <w:pPr>
        <w:numPr>
          <w:ilvl w:val="0"/>
          <w:numId w:val="0"/>
        </w:numPr>
        <w:adjustRightInd w:val="0"/>
        <w:snapToGrid w:val="0"/>
        <w:spacing w:line="240" w:lineRule="auto"/>
        <w:jc w:val="left"/>
        <w:rPr>
          <w:rFonts w:hint="eastAsia" w:ascii="宋体" w:hAnsi="宋体"/>
          <w:b/>
          <w:bCs/>
          <w:sz w:val="28"/>
          <w:szCs w:val="28"/>
          <w:lang w:val="en-US" w:eastAsia="zh-CN"/>
        </w:rPr>
      </w:pPr>
    </w:p>
    <w:p>
      <w:pPr>
        <w:numPr>
          <w:ilvl w:val="0"/>
          <w:numId w:val="0"/>
        </w:numPr>
        <w:adjustRightInd w:val="0"/>
        <w:snapToGrid w:val="0"/>
        <w:spacing w:line="240" w:lineRule="auto"/>
        <w:jc w:val="right"/>
        <w:rPr>
          <w:rFonts w:hint="eastAsia" w:ascii="宋体" w:hAnsi="宋体"/>
          <w:b/>
          <w:bCs/>
          <w:sz w:val="28"/>
          <w:szCs w:val="28"/>
          <w:lang w:val="en-US" w:eastAsia="zh-CN"/>
        </w:rPr>
      </w:pPr>
      <w:r>
        <w:rPr>
          <w:rFonts w:hint="eastAsia" w:ascii="宋体" w:hAnsi="宋体"/>
          <w:b/>
          <w:bCs/>
          <w:sz w:val="28"/>
          <w:szCs w:val="28"/>
          <w:lang w:val="en-US" w:eastAsia="zh-CN"/>
        </w:rPr>
        <w:t>芜湖新兴铸管有限责任公司</w:t>
      </w:r>
    </w:p>
    <w:p>
      <w:pPr>
        <w:numPr>
          <w:ilvl w:val="0"/>
          <w:numId w:val="0"/>
        </w:numPr>
        <w:wordWrap w:val="0"/>
        <w:adjustRightInd w:val="0"/>
        <w:snapToGrid w:val="0"/>
        <w:spacing w:line="240" w:lineRule="auto"/>
        <w:jc w:val="right"/>
        <w:rPr>
          <w:rFonts w:hint="default" w:ascii="宋体" w:hAnsi="宋体"/>
          <w:lang w:val="en-US" w:eastAsia="zh-CN"/>
        </w:rPr>
      </w:pPr>
      <w:r>
        <w:rPr>
          <w:rFonts w:hint="eastAsia" w:ascii="宋体" w:hAnsi="宋体"/>
          <w:b/>
          <w:bCs/>
          <w:sz w:val="28"/>
          <w:szCs w:val="28"/>
          <w:lang w:val="en-US" w:eastAsia="zh-CN"/>
        </w:rPr>
        <w:t xml:space="preserve">2020-05-22  </w:t>
      </w:r>
      <w:r>
        <w:rPr>
          <w:rFonts w:hint="eastAsia" w:ascii="宋体" w:hAnsi="宋体"/>
          <w:lang w:val="en-US" w:eastAsia="zh-CN"/>
        </w:rPr>
        <w:t xml:space="preserve">  </w:t>
      </w:r>
    </w:p>
    <w:p>
      <w:pPr>
        <w:spacing w:line="240" w:lineRule="auto"/>
      </w:pPr>
    </w:p>
    <w:sectPr>
      <w:footerReference r:id="rId3"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4</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4</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ACFB70"/>
    <w:multiLevelType w:val="singleLevel"/>
    <w:tmpl w:val="88ACFB70"/>
    <w:lvl w:ilvl="0" w:tentative="0">
      <w:start w:val="1"/>
      <w:numFmt w:val="decimal"/>
      <w:suff w:val="nothing"/>
      <w:lvlText w:val="%1．"/>
      <w:lvlJc w:val="left"/>
      <w:pPr>
        <w:ind w:left="876" w:firstLine="400"/>
      </w:pPr>
      <w:rPr>
        <w:rFonts w:hint="default"/>
      </w:rPr>
    </w:lvl>
  </w:abstractNum>
  <w:abstractNum w:abstractNumId="1">
    <w:nsid w:val="9726F0C2"/>
    <w:multiLevelType w:val="singleLevel"/>
    <w:tmpl w:val="9726F0C2"/>
    <w:lvl w:ilvl="0" w:tentative="0">
      <w:start w:val="1"/>
      <w:numFmt w:val="decimal"/>
      <w:suff w:val="nothing"/>
      <w:lvlText w:val="%1．"/>
      <w:lvlJc w:val="left"/>
      <w:pPr>
        <w:ind w:left="0" w:firstLine="400"/>
      </w:pPr>
      <w:rPr>
        <w:rFonts w:hint="default"/>
      </w:rPr>
    </w:lvl>
  </w:abstractNum>
  <w:abstractNum w:abstractNumId="2">
    <w:nsid w:val="BEBFC349"/>
    <w:multiLevelType w:val="singleLevel"/>
    <w:tmpl w:val="BEBFC349"/>
    <w:lvl w:ilvl="0" w:tentative="0">
      <w:start w:val="1"/>
      <w:numFmt w:val="decimal"/>
      <w:suff w:val="nothing"/>
      <w:lvlText w:val="%1．"/>
      <w:lvlJc w:val="left"/>
      <w:pPr>
        <w:ind w:left="0" w:firstLine="400"/>
      </w:pPr>
      <w:rPr>
        <w:rFonts w:hint="default"/>
      </w:rPr>
    </w:lvl>
  </w:abstractNum>
  <w:abstractNum w:abstractNumId="3">
    <w:nsid w:val="DFF0FD42"/>
    <w:multiLevelType w:val="singleLevel"/>
    <w:tmpl w:val="DFF0FD42"/>
    <w:lvl w:ilvl="0" w:tentative="0">
      <w:start w:val="1"/>
      <w:numFmt w:val="decimal"/>
      <w:suff w:val="space"/>
      <w:lvlText w:val="%1."/>
      <w:lvlJc w:val="left"/>
    </w:lvl>
  </w:abstractNum>
  <w:abstractNum w:abstractNumId="4">
    <w:nsid w:val="FDEFB2C9"/>
    <w:multiLevelType w:val="singleLevel"/>
    <w:tmpl w:val="FDEFB2C9"/>
    <w:lvl w:ilvl="0" w:tentative="0">
      <w:start w:val="1"/>
      <w:numFmt w:val="decimal"/>
      <w:lvlText w:val="(%1)"/>
      <w:lvlJc w:val="left"/>
      <w:pPr>
        <w:ind w:left="425" w:hanging="425"/>
      </w:pPr>
      <w:rPr>
        <w:rFonts w:hint="default"/>
      </w:rPr>
    </w:lvl>
  </w:abstractNum>
  <w:abstractNum w:abstractNumId="5">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6">
    <w:nsid w:val="0000000B"/>
    <w:multiLevelType w:val="singleLevel"/>
    <w:tmpl w:val="0000000B"/>
    <w:lvl w:ilvl="0" w:tentative="0">
      <w:start w:val="1"/>
      <w:numFmt w:val="decimal"/>
      <w:lvlText w:val="（%1）"/>
      <w:lvlJc w:val="left"/>
      <w:pPr>
        <w:tabs>
          <w:tab w:val="left" w:pos="1125"/>
        </w:tabs>
        <w:ind w:left="1125" w:hanging="705"/>
      </w:pPr>
    </w:lvl>
  </w:abstractNum>
  <w:abstractNum w:abstractNumId="7">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5C8DB53C"/>
    <w:multiLevelType w:val="singleLevel"/>
    <w:tmpl w:val="5C8DB53C"/>
    <w:lvl w:ilvl="0" w:tentative="0">
      <w:start w:val="1"/>
      <w:numFmt w:val="decimal"/>
      <w:suff w:val="nothing"/>
      <w:lvlText w:val="%1．"/>
      <w:lvlJc w:val="left"/>
      <w:pPr>
        <w:ind w:left="0" w:firstLine="400"/>
      </w:pPr>
      <w:rPr>
        <w:rFonts w:hint="default"/>
      </w:rPr>
    </w:lvl>
  </w:abstractNum>
  <w:abstractNum w:abstractNumId="9">
    <w:nsid w:val="6DA18680"/>
    <w:multiLevelType w:val="singleLevel"/>
    <w:tmpl w:val="6DA18680"/>
    <w:lvl w:ilvl="0" w:tentative="0">
      <w:start w:val="1"/>
      <w:numFmt w:val="decimal"/>
      <w:suff w:val="nothing"/>
      <w:lvlText w:val="%1．"/>
      <w:lvlJc w:val="left"/>
      <w:pPr>
        <w:ind w:left="0" w:firstLine="400"/>
      </w:pPr>
      <w:rPr>
        <w:rFonts w:hint="default"/>
      </w:rPr>
    </w:lvl>
  </w:abstractNum>
  <w:num w:numId="1">
    <w:abstractNumId w:val="5"/>
    <w:lvlOverride w:ilvl="0">
      <w:startOverride w:val="1"/>
    </w:lvlOverride>
  </w:num>
  <w:num w:numId="2">
    <w:abstractNumId w:val="3"/>
  </w:num>
  <w:num w:numId="3">
    <w:abstractNumId w:val="4"/>
  </w:num>
  <w:num w:numId="4">
    <w:abstractNumId w:val="6"/>
    <w:lvlOverride w:ilvl="0">
      <w:startOverride w:val="1"/>
    </w:lvlOverride>
  </w:num>
  <w:num w:numId="5">
    <w:abstractNumId w:val="7"/>
  </w:num>
  <w:num w:numId="6">
    <w:abstractNumId w:val="8"/>
  </w:num>
  <w:num w:numId="7">
    <w:abstractNumId w:val="1"/>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C4248"/>
    <w:rsid w:val="116D5BEB"/>
    <w:rsid w:val="12BE36BC"/>
    <w:rsid w:val="197D1E1B"/>
    <w:rsid w:val="1C597FEA"/>
    <w:rsid w:val="1E3303F3"/>
    <w:rsid w:val="23323FD2"/>
    <w:rsid w:val="31825BC0"/>
    <w:rsid w:val="3B9E084C"/>
    <w:rsid w:val="471153B5"/>
    <w:rsid w:val="4F346C81"/>
    <w:rsid w:val="516E0CF8"/>
    <w:rsid w:val="5F6E0BE5"/>
    <w:rsid w:val="63082A59"/>
    <w:rsid w:val="66B55917"/>
    <w:rsid w:val="67EA742A"/>
    <w:rsid w:val="7F41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p0"/>
    <w:basedOn w:val="1"/>
    <w:qFormat/>
    <w:uiPriority w:val="0"/>
  </w:style>
  <w:style w:type="paragraph" w:customStyle="1" w:styleId="7">
    <w:name w:val="Plain Text1"/>
    <w:basedOn w:val="1"/>
    <w:qFormat/>
    <w:uiPriority w:val="0"/>
    <w:rPr>
      <w:rFonts w:ascii="宋体fal" w:hAnsi="Courier New" w:cs="宋体f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李全清</cp:lastModifiedBy>
  <dcterms:modified xsi:type="dcterms:W3CDTF">2020-05-22T09:23:15Z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