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832" w:firstLineChars="297"/>
        <w:rPr>
          <w:rFonts w:hint="eastAsia" w:ascii="微软雅黑" w:hAnsi="微软雅黑" w:eastAsia="微软雅黑"/>
          <w:b/>
          <w:sz w:val="28"/>
          <w:szCs w:val="28"/>
        </w:rPr>
      </w:pPr>
      <w:r>
        <w:rPr>
          <w:rFonts w:hint="eastAsia" w:ascii="微软雅黑" w:hAnsi="微软雅黑" w:eastAsia="微软雅黑"/>
          <w:b/>
          <w:sz w:val="28"/>
          <w:szCs w:val="28"/>
        </w:rPr>
        <w:t>芜湖新兴铸管1号高炉炉基围板及水冷管区域密封加固</w:t>
      </w:r>
    </w:p>
    <w:p>
      <w:pPr>
        <w:ind w:firstLine="1401" w:firstLineChars="500"/>
        <w:rPr>
          <w:rFonts w:hint="eastAsia" w:ascii="微软雅黑" w:hAnsi="微软雅黑" w:eastAsia="微软雅黑"/>
          <w:b/>
          <w:sz w:val="28"/>
          <w:szCs w:val="28"/>
        </w:rPr>
      </w:pPr>
      <w:r>
        <w:rPr>
          <w:rFonts w:hint="eastAsia" w:ascii="微软雅黑" w:hAnsi="微软雅黑" w:eastAsia="微软雅黑"/>
          <w:b/>
          <w:sz w:val="28"/>
          <w:szCs w:val="28"/>
        </w:rPr>
        <w:t>与全炉缸压浆煤气泄漏治理项目招标技术要求</w:t>
      </w:r>
    </w:p>
    <w:p>
      <w:pPr>
        <w:pStyle w:val="10"/>
        <w:numPr>
          <w:ilvl w:val="0"/>
          <w:numId w:val="1"/>
        </w:numPr>
        <w:ind w:firstLineChars="0"/>
        <w:rPr>
          <w:rFonts w:hint="eastAsia" w:ascii="微软雅黑" w:hAnsi="微软雅黑" w:eastAsia="微软雅黑"/>
          <w:sz w:val="28"/>
          <w:szCs w:val="28"/>
        </w:rPr>
      </w:pPr>
      <w:r>
        <w:rPr>
          <w:rFonts w:hint="eastAsia" w:ascii="微软雅黑" w:hAnsi="微软雅黑" w:eastAsia="微软雅黑"/>
          <w:sz w:val="28"/>
          <w:szCs w:val="28"/>
        </w:rPr>
        <w:t>现状概述</w:t>
      </w:r>
    </w:p>
    <w:p>
      <w:pPr>
        <w:spacing w:line="520" w:lineRule="exact"/>
        <w:ind w:firstLine="280" w:firstLineChars="100"/>
        <w:rPr>
          <w:sz w:val="28"/>
          <w:szCs w:val="28"/>
        </w:rPr>
      </w:pPr>
      <w:r>
        <w:rPr>
          <w:rFonts w:hint="eastAsia"/>
          <w:sz w:val="28"/>
          <w:szCs w:val="28"/>
        </w:rPr>
        <w:t>新兴铸管有限公司1号高炉有效炉容1280m</w:t>
      </w:r>
      <w:r>
        <w:rPr>
          <w:rFonts w:hint="eastAsia" w:ascii="宋体" w:hAnsi="宋体"/>
          <w:sz w:val="28"/>
          <w:szCs w:val="28"/>
        </w:rPr>
        <w:t>³</w:t>
      </w:r>
      <w:r>
        <w:rPr>
          <w:rFonts w:hint="eastAsia"/>
          <w:sz w:val="28"/>
          <w:szCs w:val="28"/>
        </w:rPr>
        <w:t>，于2012年3月份投产。2018年4月份开始由于炉体钢壳严重上涨和炉基围板普遍出现严重铁板变形鼓包现象，于2019年1号高炉检修期间进行了高炉基墩围壳封闭和炉底封板部位压浆封堵煤气的治理措施，并于2019年6月进行了炉缸部位压浆封堵煤气治理。经过两期分阶段治理后，炉基温度下降并持续稳定、炉底、基墩周边环境达标，综合煤气泄漏情况达到了良好的控制。</w:t>
      </w:r>
    </w:p>
    <w:p>
      <w:pPr>
        <w:spacing w:line="520" w:lineRule="exact"/>
        <w:ind w:firstLine="280" w:firstLineChars="100"/>
        <w:rPr>
          <w:sz w:val="28"/>
          <w:szCs w:val="28"/>
        </w:rPr>
      </w:pPr>
      <w:r>
        <w:rPr>
          <w:rFonts w:hint="eastAsia"/>
          <w:sz w:val="28"/>
          <w:szCs w:val="28"/>
        </w:rPr>
        <w:t>由于高炉炉体上涨和压浆料固化裂纹的影响，近期一号高炉原炉底封板（甲方修建部施工部位）处漏煤气情况有所加深，并且泄漏处属多次焊接部位，难于进一步采取焊接处理措施；同时水冷管部位炉基围板（8毫米钢板）已发生明显臌胀现象，需要对一号高炉炉底封板和水冷管围板部位进行围壳全封闭施工和炉缸整体压浆等封堵煤气的持续治理工作。</w:t>
      </w:r>
    </w:p>
    <w:p>
      <w:pPr>
        <w:pStyle w:val="10"/>
        <w:numPr>
          <w:ilvl w:val="0"/>
          <w:numId w:val="1"/>
        </w:numPr>
        <w:ind w:firstLineChars="0"/>
        <w:rPr>
          <w:rFonts w:hint="eastAsia" w:ascii="微软雅黑" w:hAnsi="微软雅黑" w:eastAsia="微软雅黑"/>
          <w:sz w:val="28"/>
          <w:szCs w:val="28"/>
        </w:rPr>
      </w:pPr>
      <w:r>
        <w:rPr>
          <w:rFonts w:hint="eastAsia"/>
          <w:sz w:val="28"/>
          <w:szCs w:val="28"/>
        </w:rPr>
        <w:t>现场典型情况照片如下</w:t>
      </w:r>
    </w:p>
    <w:p>
      <w:pPr>
        <w:rPr>
          <w:rFonts w:hint="eastAsia" w:ascii="微软雅黑" w:hAnsi="微软雅黑" w:eastAsia="微软雅黑"/>
          <w:sz w:val="28"/>
          <w:szCs w:val="28"/>
        </w:rPr>
      </w:pPr>
      <w:r>
        <w:rPr>
          <w:rFonts w:ascii="微软雅黑" w:hAnsi="微软雅黑" w:eastAsia="微软雅黑"/>
          <w:sz w:val="28"/>
          <w:szCs w:val="28"/>
        </w:rPr>
        <w:drawing>
          <wp:inline distT="0" distB="0" distL="0" distR="0">
            <wp:extent cx="2541270" cy="2731135"/>
            <wp:effectExtent l="19050" t="0" r="0" b="0"/>
            <wp:docPr id="7" name="图片 7" descr="E:\最近工作\进度与总结\2020二季度\2020-5-22\5-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最近工作\进度与总结\2020二季度\2020-5-22\5-22-3.jpg"/>
                    <pic:cNvPicPr>
                      <a:picLocks noChangeAspect="1" noChangeArrowheads="1"/>
                    </pic:cNvPicPr>
                  </pic:nvPicPr>
                  <pic:blipFill>
                    <a:blip r:embed="rId4"/>
                    <a:srcRect/>
                    <a:stretch>
                      <a:fillRect/>
                    </a:stretch>
                  </pic:blipFill>
                  <pic:spPr>
                    <a:xfrm>
                      <a:off x="0" y="0"/>
                      <a:ext cx="2541339" cy="2731345"/>
                    </a:xfrm>
                    <a:prstGeom prst="rect">
                      <a:avLst/>
                    </a:prstGeom>
                    <a:noFill/>
                    <a:ln w="9525">
                      <a:noFill/>
                      <a:miter lim="800000"/>
                      <a:headEnd/>
                      <a:tailEnd/>
                    </a:ln>
                  </pic:spPr>
                </pic:pic>
              </a:graphicData>
            </a:graphic>
          </wp:inline>
        </w:drawing>
      </w:r>
      <w:r>
        <w:rPr>
          <w:rFonts w:ascii="微软雅黑" w:hAnsi="微软雅黑" w:eastAsia="微软雅黑"/>
          <w:sz w:val="28"/>
          <w:szCs w:val="28"/>
        </w:rPr>
        <w:drawing>
          <wp:inline distT="0" distB="0" distL="0" distR="0">
            <wp:extent cx="2527300" cy="2731135"/>
            <wp:effectExtent l="19050" t="0" r="6045" b="0"/>
            <wp:docPr id="8" name="图片 8" descr="E:\最近工作\进度与总结\2020二季度\2020-5-22\5-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最近工作\进度与总结\2020二季度\2020-5-22\5-22-1.jpg"/>
                    <pic:cNvPicPr>
                      <a:picLocks noChangeAspect="1" noChangeArrowheads="1"/>
                    </pic:cNvPicPr>
                  </pic:nvPicPr>
                  <pic:blipFill>
                    <a:blip r:embed="rId5"/>
                    <a:srcRect/>
                    <a:stretch>
                      <a:fillRect/>
                    </a:stretch>
                  </pic:blipFill>
                  <pic:spPr>
                    <a:xfrm>
                      <a:off x="0" y="0"/>
                      <a:ext cx="2527624" cy="2731346"/>
                    </a:xfrm>
                    <a:prstGeom prst="rect">
                      <a:avLst/>
                    </a:prstGeom>
                    <a:noFill/>
                    <a:ln w="9525">
                      <a:noFill/>
                      <a:miter lim="800000"/>
                      <a:headEnd/>
                      <a:tailEnd/>
                    </a:ln>
                  </pic:spPr>
                </pic:pic>
              </a:graphicData>
            </a:graphic>
          </wp:inline>
        </w:drawing>
      </w:r>
    </w:p>
    <w:p>
      <w:pPr>
        <w:rPr>
          <w:rFonts w:hint="eastAsia" w:ascii="微软雅黑" w:hAnsi="微软雅黑" w:eastAsia="微软雅黑"/>
          <w:sz w:val="28"/>
          <w:szCs w:val="28"/>
        </w:rPr>
      </w:pPr>
      <w:r>
        <w:rPr>
          <w:rFonts w:ascii="微软雅黑" w:hAnsi="微软雅黑" w:eastAsia="微软雅黑"/>
          <w:sz w:val="28"/>
          <w:szCs w:val="28"/>
        </w:rPr>
        <w:drawing>
          <wp:inline distT="0" distB="0" distL="0" distR="0">
            <wp:extent cx="2560320" cy="2861945"/>
            <wp:effectExtent l="1905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noChangeArrowheads="1"/>
                    </pic:cNvPicPr>
                  </pic:nvPicPr>
                  <pic:blipFill>
                    <a:blip r:embed="rId6" cstate="print"/>
                    <a:srcRect/>
                    <a:stretch>
                      <a:fillRect/>
                    </a:stretch>
                  </pic:blipFill>
                  <pic:spPr>
                    <a:xfrm>
                      <a:off x="0" y="0"/>
                      <a:ext cx="2567369" cy="2869407"/>
                    </a:xfrm>
                    <a:prstGeom prst="rect">
                      <a:avLst/>
                    </a:prstGeom>
                    <a:noFill/>
                    <a:ln w="9525">
                      <a:noFill/>
                      <a:miter lim="800000"/>
                      <a:headEnd/>
                      <a:tailEnd/>
                    </a:ln>
                  </pic:spPr>
                </pic:pic>
              </a:graphicData>
            </a:graphic>
          </wp:inline>
        </w:drawing>
      </w:r>
      <w:r>
        <w:rPr>
          <w:rFonts w:ascii="微软雅黑" w:hAnsi="微软雅黑" w:eastAsia="微软雅黑"/>
          <w:sz w:val="28"/>
          <w:szCs w:val="28"/>
        </w:rPr>
        <w:drawing>
          <wp:inline distT="0" distB="0" distL="0" distR="0">
            <wp:extent cx="2560320" cy="2849880"/>
            <wp:effectExtent l="19050" t="0" r="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noChangeArrowheads="1"/>
                    </pic:cNvPicPr>
                  </pic:nvPicPr>
                  <pic:blipFill>
                    <a:blip r:embed="rId7" cstate="print"/>
                    <a:srcRect/>
                    <a:stretch>
                      <a:fillRect/>
                    </a:stretch>
                  </pic:blipFill>
                  <pic:spPr>
                    <a:xfrm>
                      <a:off x="0" y="0"/>
                      <a:ext cx="2567369" cy="2857500"/>
                    </a:xfrm>
                    <a:prstGeom prst="rect">
                      <a:avLst/>
                    </a:prstGeom>
                    <a:noFill/>
                    <a:ln w="9525">
                      <a:noFill/>
                      <a:miter lim="800000"/>
                      <a:headEnd/>
                      <a:tailEnd/>
                    </a:ln>
                  </pic:spPr>
                </pic:pic>
              </a:graphicData>
            </a:graphic>
          </wp:inline>
        </w:drawing>
      </w:r>
      <w:r>
        <w:rPr>
          <w:rFonts w:hint="eastAsia"/>
          <w:sz w:val="28"/>
          <w:szCs w:val="28"/>
        </w:rPr>
        <w:t xml:space="preserve"> </w:t>
      </w:r>
      <w:r>
        <w:rPr>
          <w:sz w:val="28"/>
          <w:szCs w:val="28"/>
        </w:rPr>
        <w:drawing>
          <wp:inline distT="0" distB="0" distL="0" distR="0">
            <wp:extent cx="2564765" cy="2833370"/>
            <wp:effectExtent l="19050" t="0" r="6680" b="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noChangeArrowheads="1"/>
                    </pic:cNvPicPr>
                  </pic:nvPicPr>
                  <pic:blipFill>
                    <a:blip r:embed="rId8" cstate="print"/>
                    <a:srcRect/>
                    <a:stretch>
                      <a:fillRect/>
                    </a:stretch>
                  </pic:blipFill>
                  <pic:spPr>
                    <a:xfrm>
                      <a:off x="0" y="0"/>
                      <a:ext cx="2569550" cy="2838450"/>
                    </a:xfrm>
                    <a:prstGeom prst="rect">
                      <a:avLst/>
                    </a:prstGeom>
                    <a:noFill/>
                    <a:ln w="9525">
                      <a:noFill/>
                      <a:miter lim="800000"/>
                      <a:headEnd/>
                      <a:tailEnd/>
                    </a:ln>
                  </pic:spPr>
                </pic:pic>
              </a:graphicData>
            </a:graphic>
          </wp:inline>
        </w:drawing>
      </w:r>
      <w:r>
        <w:rPr>
          <w:sz w:val="28"/>
          <w:szCs w:val="28"/>
        </w:rPr>
        <w:drawing>
          <wp:inline distT="0" distB="0" distL="0" distR="0">
            <wp:extent cx="2600325" cy="2837815"/>
            <wp:effectExtent l="19050" t="0" r="9154" b="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noChangeArrowheads="1"/>
                    </pic:cNvPicPr>
                  </pic:nvPicPr>
                  <pic:blipFill>
                    <a:blip r:embed="rId9" cstate="print"/>
                    <a:srcRect/>
                    <a:stretch>
                      <a:fillRect/>
                    </a:stretch>
                  </pic:blipFill>
                  <pic:spPr>
                    <a:xfrm>
                      <a:off x="0" y="0"/>
                      <a:ext cx="2600922" cy="2838450"/>
                    </a:xfrm>
                    <a:prstGeom prst="rect">
                      <a:avLst/>
                    </a:prstGeom>
                    <a:noFill/>
                    <a:ln w="9525">
                      <a:noFill/>
                      <a:miter lim="800000"/>
                      <a:headEnd/>
                      <a:tailEnd/>
                    </a:ln>
                  </pic:spPr>
                </pic:pic>
              </a:graphicData>
            </a:graphic>
          </wp:inline>
        </w:drawing>
      </w:r>
    </w:p>
    <w:p>
      <w:pPr>
        <w:rPr>
          <w:rFonts w:hint="eastAsia"/>
          <w:sz w:val="28"/>
          <w:szCs w:val="28"/>
        </w:rPr>
      </w:pPr>
      <w:r>
        <w:rPr>
          <w:rFonts w:hint="eastAsia"/>
          <w:sz w:val="28"/>
          <w:szCs w:val="28"/>
        </w:rPr>
        <w:t>前期基墩和上部围壳情况：2019-2</w:t>
      </w:r>
    </w:p>
    <w:p>
      <w:pPr>
        <w:rPr>
          <w:rFonts w:hint="eastAsia" w:ascii="微软雅黑" w:hAnsi="微软雅黑" w:eastAsia="微软雅黑"/>
          <w:sz w:val="28"/>
          <w:szCs w:val="28"/>
        </w:rPr>
      </w:pPr>
      <w:r>
        <w:rPr>
          <w:rFonts w:ascii="微软雅黑" w:hAnsi="微软雅黑" w:eastAsia="微软雅黑"/>
          <w:sz w:val="28"/>
          <w:szCs w:val="28"/>
        </w:rPr>
        <w:drawing>
          <wp:inline distT="0" distB="0" distL="0" distR="0">
            <wp:extent cx="2600325" cy="2324100"/>
            <wp:effectExtent l="19050" t="0" r="9525" b="0"/>
            <wp:docPr id="29" name="图片 6" descr="C:\DOCUME~1\ADMINI~1\LOCALS~1\Temp\WeChat Files\3fe80bf35be55bf68d34df7d3bd67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descr="C:\DOCUME~1\ADMINI~1\LOCALS~1\Temp\WeChat Files\3fe80bf35be55bf68d34df7d3bd672c.jpg"/>
                    <pic:cNvPicPr>
                      <a:picLocks noChangeAspect="1" noChangeArrowheads="1"/>
                    </pic:cNvPicPr>
                  </pic:nvPicPr>
                  <pic:blipFill>
                    <a:blip r:embed="rId10" cstate="print"/>
                    <a:srcRect/>
                    <a:stretch>
                      <a:fillRect/>
                    </a:stretch>
                  </pic:blipFill>
                  <pic:spPr>
                    <a:xfrm>
                      <a:off x="0" y="0"/>
                      <a:ext cx="2601421" cy="2325080"/>
                    </a:xfrm>
                    <a:prstGeom prst="rect">
                      <a:avLst/>
                    </a:prstGeom>
                    <a:noFill/>
                    <a:ln w="9525">
                      <a:noFill/>
                      <a:miter lim="800000"/>
                      <a:headEnd/>
                      <a:tailEnd/>
                    </a:ln>
                  </pic:spPr>
                </pic:pic>
              </a:graphicData>
            </a:graphic>
          </wp:inline>
        </w:drawing>
      </w:r>
      <w:r>
        <w:rPr>
          <w:rFonts w:ascii="微软雅黑" w:hAnsi="微软雅黑" w:eastAsia="微软雅黑"/>
          <w:sz w:val="28"/>
          <w:szCs w:val="28"/>
        </w:rPr>
        <w:drawing>
          <wp:inline distT="0" distB="0" distL="0" distR="0">
            <wp:extent cx="2590800" cy="2324100"/>
            <wp:effectExtent l="19050" t="0" r="0" b="0"/>
            <wp:docPr id="27" name="图片 5" descr="C:\DOCUME~1\ADMINI~1\LOCALS~1\Temp\WeChat Files\53a620e3cf34e7c031e2764bc5409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descr="C:\DOCUME~1\ADMINI~1\LOCALS~1\Temp\WeChat Files\53a620e3cf34e7c031e2764bc5409c0.jpg"/>
                    <pic:cNvPicPr>
                      <a:picLocks noChangeAspect="1" noChangeArrowheads="1"/>
                    </pic:cNvPicPr>
                  </pic:nvPicPr>
                  <pic:blipFill>
                    <a:blip r:embed="rId11" cstate="print"/>
                    <a:srcRect/>
                    <a:stretch>
                      <a:fillRect/>
                    </a:stretch>
                  </pic:blipFill>
                  <pic:spPr>
                    <a:xfrm>
                      <a:off x="0" y="0"/>
                      <a:ext cx="2591892" cy="2325080"/>
                    </a:xfrm>
                    <a:prstGeom prst="rect">
                      <a:avLst/>
                    </a:prstGeom>
                    <a:noFill/>
                    <a:ln w="9525">
                      <a:noFill/>
                      <a:miter lim="800000"/>
                      <a:headEnd/>
                      <a:tailEnd/>
                    </a:ln>
                  </pic:spPr>
                </pic:pic>
              </a:graphicData>
            </a:graphic>
          </wp:inline>
        </w:drawing>
      </w:r>
    </w:p>
    <w:p>
      <w:pPr>
        <w:ind w:firstLine="560" w:firstLineChars="200"/>
        <w:rPr>
          <w:rFonts w:hint="eastAsia" w:ascii="微软雅黑" w:hAnsi="微软雅黑" w:eastAsia="微软雅黑"/>
          <w:sz w:val="28"/>
          <w:szCs w:val="28"/>
        </w:rPr>
      </w:pPr>
      <w:r>
        <w:rPr>
          <w:rFonts w:hint="eastAsia" w:ascii="微软雅黑" w:hAnsi="微软雅黑" w:eastAsia="微软雅黑"/>
          <w:sz w:val="28"/>
          <w:szCs w:val="28"/>
        </w:rPr>
        <w:t>二、治理方法</w:t>
      </w:r>
    </w:p>
    <w:p>
      <w:pPr>
        <w:ind w:firstLine="560" w:firstLineChars="200"/>
        <w:rPr>
          <w:rFonts w:hint="eastAsia" w:ascii="微软雅黑" w:hAnsi="微软雅黑" w:eastAsia="微软雅黑"/>
          <w:sz w:val="28"/>
          <w:szCs w:val="28"/>
        </w:rPr>
      </w:pPr>
      <w:r>
        <w:rPr>
          <w:rFonts w:hint="eastAsia" w:ascii="微软雅黑" w:hAnsi="微软雅黑" w:eastAsia="微软雅黑"/>
          <w:sz w:val="28"/>
          <w:szCs w:val="28"/>
        </w:rPr>
        <w:t>本次高炉炉缸及炉体基礅煤气治理项目，计划采用“内堵外封”的工艺技术进行施工治理，其主要施工内容为：1、水冷管部位围板和炉底封板封闭2、炉缸整体压浆封堵煤气。</w:t>
      </w:r>
    </w:p>
    <w:p>
      <w:pPr>
        <w:ind w:firstLine="560" w:firstLineChars="200"/>
        <w:rPr>
          <w:rFonts w:hint="eastAsia" w:ascii="微软雅黑" w:hAnsi="微软雅黑" w:eastAsia="微软雅黑"/>
          <w:sz w:val="28"/>
          <w:szCs w:val="28"/>
        </w:rPr>
      </w:pPr>
      <w:r>
        <w:rPr>
          <w:rFonts w:hint="eastAsia" w:ascii="微软雅黑" w:hAnsi="微软雅黑" w:eastAsia="微软雅黑"/>
          <w:sz w:val="28"/>
          <w:szCs w:val="28"/>
        </w:rPr>
        <w:t>通过对前期压浆部位进行优化，在经量减少炉壳开孔数量原则下，向炉内压入改性抗水化、高导热压浆料，以封堵高炉内部炉底封板部位的缺陷，阻断炉内煤气通过炉底封板向下面炉基和水泥基礅窜漏煤气的主要通道，防止大量煤气通过缺陷炉底封板向炉基和水泥基礅的窜漏；同时通过改性压浆料将炉底水冷管下至耐热基墩之间已粉化的耐火浇注层进行固化，同时制作水冷管部位围板和炉底封板封闭的特殊密封结构，从炉体外侧完全封堵剩余的炉基外泄带压煤气。</w:t>
      </w:r>
    </w:p>
    <w:p>
      <w:pPr>
        <w:ind w:firstLine="560" w:firstLineChars="200"/>
        <w:rPr>
          <w:rFonts w:hint="eastAsia" w:ascii="微软雅黑" w:hAnsi="微软雅黑" w:eastAsia="微软雅黑"/>
          <w:sz w:val="28"/>
          <w:szCs w:val="28"/>
        </w:rPr>
      </w:pPr>
      <w:r>
        <w:rPr>
          <w:rFonts w:hint="eastAsia" w:ascii="微软雅黑" w:hAnsi="微软雅黑" w:eastAsia="微软雅黑"/>
          <w:sz w:val="28"/>
          <w:szCs w:val="28"/>
        </w:rPr>
        <w:t>水泥基礅渗漏的治理需制作围壳对水泥基礅部位进行整体密封，并在围壳内制作三道密封带结构，同时对水泥基礅底部和上部围板结合处制作迷宫式密封结构，利用高分子密封胶进行密封施工解决炉体上涨对封闭结构的拉伸破坏作用。确保将水泥基礅窜漏煤气封堵在钢板结构密封内，不再向外窜漏。</w:t>
      </w:r>
    </w:p>
    <w:p>
      <w:pPr>
        <w:rPr>
          <w:rFonts w:hint="eastAsia" w:ascii="微软雅黑" w:hAnsi="微软雅黑" w:eastAsia="微软雅黑"/>
          <w:sz w:val="28"/>
          <w:szCs w:val="28"/>
        </w:rPr>
      </w:pPr>
      <w:r>
        <w:rPr>
          <w:rFonts w:hint="eastAsia" w:ascii="微软雅黑" w:hAnsi="微软雅黑" w:eastAsia="微软雅黑"/>
          <w:sz w:val="28"/>
          <w:szCs w:val="28"/>
        </w:rPr>
        <w:t>三、质量要求</w:t>
      </w:r>
    </w:p>
    <w:p>
      <w:pPr>
        <w:widowControl/>
        <w:tabs>
          <w:tab w:val="left" w:pos="709"/>
        </w:tabs>
        <w:spacing w:after="200" w:line="276" w:lineRule="auto"/>
        <w:jc w:val="left"/>
        <w:rPr>
          <w:rFonts w:hint="eastAsia" w:ascii="微软雅黑" w:hAnsi="微软雅黑" w:eastAsia="微软雅黑"/>
          <w:sz w:val="28"/>
          <w:szCs w:val="28"/>
        </w:rPr>
      </w:pPr>
      <w:r>
        <w:rPr>
          <w:rFonts w:hint="eastAsia" w:ascii="微软雅黑" w:hAnsi="微软雅黑" w:eastAsia="微软雅黑"/>
          <w:sz w:val="28"/>
          <w:szCs w:val="28"/>
        </w:rPr>
        <w:t>（1）施工范围内没有煤气跑冒漏点，站在离炉皮2米位置检测6个点，使用煤气检测仪检测，煤气浓度平均不得超过24PPM（其他区域飘逸过来煤气因素除外）；</w:t>
      </w:r>
    </w:p>
    <w:p>
      <w:pPr>
        <w:jc w:val="left"/>
        <w:rPr>
          <w:rFonts w:ascii="微软雅黑" w:hAnsi="微软雅黑" w:eastAsia="微软雅黑"/>
          <w:sz w:val="28"/>
          <w:szCs w:val="28"/>
        </w:rPr>
      </w:pPr>
      <w:r>
        <w:rPr>
          <w:rFonts w:hint="eastAsia" w:ascii="微软雅黑" w:hAnsi="微软雅黑" w:eastAsia="微软雅黑"/>
          <w:sz w:val="28"/>
          <w:szCs w:val="28"/>
        </w:rPr>
        <w:t>（2）围壳钢构及压浆部分    12个月</w:t>
      </w:r>
    </w:p>
    <w:p>
      <w:pPr>
        <w:jc w:val="left"/>
        <w:rPr>
          <w:rFonts w:hint="eastAsia" w:ascii="微软雅黑" w:hAnsi="微软雅黑" w:eastAsia="微软雅黑"/>
          <w:sz w:val="28"/>
          <w:szCs w:val="28"/>
        </w:rPr>
      </w:pPr>
      <w:r>
        <w:rPr>
          <w:rFonts w:hint="eastAsia" w:ascii="微软雅黑" w:hAnsi="微软雅黑" w:eastAsia="微软雅黑"/>
          <w:sz w:val="28"/>
          <w:szCs w:val="28"/>
        </w:rPr>
        <w:t>（4）炉缸维护性压浆  6个月</w:t>
      </w:r>
    </w:p>
    <w:p>
      <w:pPr>
        <w:jc w:val="left"/>
        <w:rPr>
          <w:rFonts w:ascii="宋体" w:hAnsi="宋体"/>
          <w:sz w:val="28"/>
          <w:szCs w:val="28"/>
        </w:rPr>
      </w:pPr>
      <w:r>
        <w:rPr>
          <w:rFonts w:ascii="宋体" w:hAnsi="宋体"/>
          <w:sz w:val="28"/>
          <w:szCs w:val="28"/>
        </w:rPr>
        <w:drawing>
          <wp:inline distT="0" distB="0" distL="0" distR="0">
            <wp:extent cx="5274310" cy="3075305"/>
            <wp:effectExtent l="19050" t="0" r="2045" b="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noChangeArrowheads="1"/>
                    </pic:cNvPicPr>
                  </pic:nvPicPr>
                  <pic:blipFill>
                    <a:blip r:embed="rId12"/>
                    <a:srcRect/>
                    <a:stretch>
                      <a:fillRect/>
                    </a:stretch>
                  </pic:blipFill>
                  <pic:spPr>
                    <a:xfrm>
                      <a:off x="0" y="0"/>
                      <a:ext cx="5274310" cy="3075420"/>
                    </a:xfrm>
                    <a:prstGeom prst="rect">
                      <a:avLst/>
                    </a:prstGeom>
                    <a:noFill/>
                    <a:ln w="9525">
                      <a:noFill/>
                      <a:miter lim="800000"/>
                      <a:headEnd/>
                      <a:tailEnd/>
                    </a:ln>
                  </pic:spPr>
                </pic:pic>
              </a:graphicData>
            </a:graphic>
          </wp:inline>
        </w:drawing>
      </w:r>
    </w:p>
    <w:p>
      <w:pPr>
        <w:rPr>
          <w:rFonts w:hint="eastAsia"/>
          <w:sz w:val="28"/>
          <w:szCs w:val="36"/>
        </w:rPr>
      </w:pPr>
    </w:p>
    <w:p>
      <w:pPr>
        <w:rPr>
          <w:rFonts w:hint="eastAsia"/>
          <w:sz w:val="28"/>
          <w:szCs w:val="36"/>
        </w:rPr>
      </w:pPr>
      <w:r>
        <w:rPr>
          <w:rFonts w:hint="eastAsia"/>
          <w:sz w:val="28"/>
          <w:szCs w:val="36"/>
        </w:rPr>
        <w:t>四、施工方式</w:t>
      </w:r>
    </w:p>
    <w:p>
      <w:pPr>
        <w:rPr>
          <w:rFonts w:hint="eastAsia"/>
          <w:sz w:val="28"/>
          <w:szCs w:val="36"/>
        </w:rPr>
      </w:pPr>
      <w:r>
        <w:rPr>
          <w:rFonts w:hint="eastAsia"/>
          <w:sz w:val="28"/>
          <w:szCs w:val="36"/>
        </w:rPr>
        <w:t>包工包料</w:t>
      </w:r>
    </w:p>
    <w:p>
      <w:pPr>
        <w:rPr>
          <w:rFonts w:hint="eastAsia"/>
          <w:sz w:val="28"/>
          <w:szCs w:val="36"/>
        </w:rPr>
      </w:pPr>
      <w:r>
        <w:rPr>
          <w:rFonts w:hint="eastAsia"/>
          <w:sz w:val="28"/>
          <w:szCs w:val="36"/>
        </w:rPr>
        <w:t>五、施工要求</w:t>
      </w:r>
    </w:p>
    <w:p>
      <w:pPr>
        <w:rPr>
          <w:rFonts w:hint="eastAsia" w:ascii="微软雅黑" w:hAnsi="微软雅黑" w:eastAsia="微软雅黑"/>
          <w:sz w:val="28"/>
          <w:szCs w:val="28"/>
        </w:rPr>
      </w:pPr>
      <w:r>
        <w:rPr>
          <w:rFonts w:hint="eastAsia" w:ascii="微软雅黑" w:hAnsi="微软雅黑" w:eastAsia="微软雅黑"/>
          <w:sz w:val="28"/>
          <w:szCs w:val="28"/>
        </w:rPr>
        <w:t>1、水冷管部位围板和炉底封板封闭在高炉生产期间在线施工，施工单位需具备煤气区域作业经验和经历，确保施工人员和设备安全达到芜湖新兴铸管有限责任公司关于安全作业标准化B级企业的管理要求。</w:t>
      </w:r>
    </w:p>
    <w:p>
      <w:pPr>
        <w:rPr>
          <w:rFonts w:hint="eastAsia" w:ascii="微软雅黑" w:hAnsi="微软雅黑" w:eastAsia="微软雅黑"/>
          <w:sz w:val="28"/>
          <w:szCs w:val="28"/>
        </w:rPr>
      </w:pPr>
      <w:r>
        <w:rPr>
          <w:rFonts w:hint="eastAsia" w:ascii="微软雅黑" w:hAnsi="微软雅黑" w:eastAsia="微软雅黑"/>
          <w:sz w:val="28"/>
          <w:szCs w:val="28"/>
        </w:rPr>
        <w:t>2、炉缸整体压浆封堵煤气作业在高炉检修期间作业。</w:t>
      </w:r>
    </w:p>
    <w:p>
      <w:pPr>
        <w:rPr>
          <w:rFonts w:hint="eastAsia"/>
          <w:sz w:val="28"/>
          <w:szCs w:val="36"/>
        </w:rPr>
      </w:pPr>
    </w:p>
    <w:p>
      <w:pPr>
        <w:rPr>
          <w:rFonts w:ascii="微软雅黑" w:hAnsi="微软雅黑" w:eastAsia="微软雅黑"/>
          <w:sz w:val="28"/>
          <w:szCs w:val="28"/>
        </w:rPr>
      </w:pPr>
      <w:bookmarkStart w:id="0" w:name="_GoBack"/>
      <w:bookmarkEnd w:id="0"/>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Segoe UI">
    <w:panose1 w:val="020B0502040204020203"/>
    <w:charset w:val="00"/>
    <w:family w:val="auto"/>
    <w:pitch w:val="default"/>
    <w:sig w:usb0="E4002EFF" w:usb1="C000E47F"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7853266"/>
    <w:multiLevelType w:val="multilevel"/>
    <w:tmpl w:val="67853266"/>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73B8"/>
    <w:rsid w:val="00011094"/>
    <w:rsid w:val="0007743D"/>
    <w:rsid w:val="0008642D"/>
    <w:rsid w:val="001E7851"/>
    <w:rsid w:val="002C7260"/>
    <w:rsid w:val="003B7996"/>
    <w:rsid w:val="003E17BD"/>
    <w:rsid w:val="003F3F12"/>
    <w:rsid w:val="00424800"/>
    <w:rsid w:val="00461022"/>
    <w:rsid w:val="00514B11"/>
    <w:rsid w:val="00574457"/>
    <w:rsid w:val="0063397D"/>
    <w:rsid w:val="00655396"/>
    <w:rsid w:val="00671C9A"/>
    <w:rsid w:val="006A2CAF"/>
    <w:rsid w:val="006B6B15"/>
    <w:rsid w:val="009014F4"/>
    <w:rsid w:val="00A27B25"/>
    <w:rsid w:val="00A87656"/>
    <w:rsid w:val="00AF3737"/>
    <w:rsid w:val="00B77EEA"/>
    <w:rsid w:val="00BA1DFF"/>
    <w:rsid w:val="00C356C1"/>
    <w:rsid w:val="00D21872"/>
    <w:rsid w:val="00D36BC1"/>
    <w:rsid w:val="00E27486"/>
    <w:rsid w:val="00F46773"/>
    <w:rsid w:val="00FB73B8"/>
    <w:rsid w:val="1D8F5A1B"/>
    <w:rsid w:val="20195852"/>
    <w:rsid w:val="21B5122C"/>
    <w:rsid w:val="31056679"/>
    <w:rsid w:val="62FB540E"/>
    <w:rsid w:val="76A030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6">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alloon Text"/>
    <w:basedOn w:val="1"/>
    <w:link w:val="9"/>
    <w:uiPriority w:val="0"/>
    <w:rPr>
      <w:sz w:val="18"/>
      <w:szCs w:val="18"/>
    </w:rPr>
  </w:style>
  <w:style w:type="paragraph" w:styleId="3">
    <w:name w:val="footer"/>
    <w:basedOn w:val="1"/>
    <w:link w:val="8"/>
    <w:uiPriority w:val="0"/>
    <w:pPr>
      <w:tabs>
        <w:tab w:val="center" w:pos="4153"/>
        <w:tab w:val="right" w:pos="8306"/>
      </w:tabs>
      <w:snapToGrid w:val="0"/>
      <w:jc w:val="left"/>
    </w:pPr>
    <w:rPr>
      <w:sz w:val="18"/>
      <w:szCs w:val="18"/>
    </w:rPr>
  </w:style>
  <w:style w:type="paragraph" w:styleId="4">
    <w:name w:val="header"/>
    <w:basedOn w:val="1"/>
    <w:link w:val="7"/>
    <w:uiPriority w:val="0"/>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6"/>
    <w:link w:val="4"/>
    <w:qFormat/>
    <w:uiPriority w:val="0"/>
    <w:rPr>
      <w:rFonts w:ascii="Calibri" w:hAnsi="Calibri"/>
      <w:kern w:val="2"/>
      <w:sz w:val="18"/>
      <w:szCs w:val="18"/>
    </w:rPr>
  </w:style>
  <w:style w:type="character" w:customStyle="1" w:styleId="8">
    <w:name w:val="页脚 Char"/>
    <w:basedOn w:val="6"/>
    <w:link w:val="3"/>
    <w:uiPriority w:val="0"/>
    <w:rPr>
      <w:rFonts w:ascii="Calibri" w:hAnsi="Calibri"/>
      <w:kern w:val="2"/>
      <w:sz w:val="18"/>
      <w:szCs w:val="18"/>
    </w:rPr>
  </w:style>
  <w:style w:type="character" w:customStyle="1" w:styleId="9">
    <w:name w:val="批注框文本 Char"/>
    <w:basedOn w:val="6"/>
    <w:link w:val="2"/>
    <w:uiPriority w:val="0"/>
    <w:rPr>
      <w:rFonts w:ascii="Calibri" w:hAnsi="Calibri"/>
      <w:kern w:val="2"/>
      <w:sz w:val="18"/>
      <w:szCs w:val="18"/>
    </w:rPr>
  </w:style>
  <w:style w:type="paragraph"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4</Pages>
  <Words>182</Words>
  <Characters>1044</Characters>
  <Lines>8</Lines>
  <Paragraphs>2</Paragraphs>
  <TotalTime>0</TotalTime>
  <ScaleCrop>false</ScaleCrop>
  <LinksUpToDate>false</LinksUpToDate>
  <CharactersWithSpaces>1224</CharactersWithSpaces>
  <Application>WPS Office_11.1.0.9662_F1E327BC-269C-435d-A152-05C5408002CA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2020-06-01T09:10:00Z</dcterms:created>
  <dc:creator>frank2018</dc:creator>
  <cp:lastModifiedBy>Administrator</cp:lastModifiedBy>
  <dcterms:modified xsi:type="dcterms:W3CDTF">2020-06-04T06:07:41Z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