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color w:val="000000" w:themeColor="text1"/>
          <w:sz w:val="44"/>
          <w:szCs w:val="44"/>
        </w:rPr>
      </w:pPr>
      <w:bookmarkStart w:id="0" w:name="_Toc318376965"/>
      <w:r>
        <w:rPr>
          <w:rFonts w:hint="eastAsia" w:ascii="Times New Roman" w:hAnsi="Times New Roman" w:cs="Times New Roman"/>
          <w:b/>
          <w:color w:val="000000" w:themeColor="text1"/>
          <w:sz w:val="44"/>
          <w:szCs w:val="44"/>
        </w:rPr>
        <w:t xml:space="preserve"> </w:t>
      </w:r>
    </w:p>
    <w:p>
      <w:pPr>
        <w:adjustRightInd w:val="0"/>
        <w:snapToGrid w:val="0"/>
        <w:spacing w:line="360" w:lineRule="auto"/>
        <w:jc w:val="center"/>
        <w:rPr>
          <w:rFonts w:ascii="Times New Roman" w:hAnsi="Times New Roman" w:cs="Times New Roman"/>
          <w:b/>
          <w:color w:val="000000" w:themeColor="text1"/>
          <w:sz w:val="44"/>
          <w:szCs w:val="44"/>
        </w:rPr>
      </w:pP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芜湖新兴铸管有限责任公司</w:t>
      </w:r>
      <w:r>
        <w:rPr>
          <w:rFonts w:hint="eastAsia" w:ascii="Times New Roman" w:hAnsi="Times New Roman" w:cs="Times New Roman"/>
          <w:b/>
          <w:color w:val="000000" w:themeColor="text1"/>
          <w:sz w:val="44"/>
          <w:szCs w:val="44"/>
        </w:rPr>
        <w:t>综合料场封闭工程超细多功能雾炮</w:t>
      </w:r>
    </w:p>
    <w:p>
      <w:pPr>
        <w:adjustRightInd w:val="0"/>
        <w:snapToGrid w:val="0"/>
        <w:spacing w:line="360" w:lineRule="auto"/>
        <w:jc w:val="center"/>
        <w:rPr>
          <w:rFonts w:ascii="Times New Roman" w:hAnsi="Times New Roman" w:cs="Times New Roman"/>
          <w:b/>
          <w:color w:val="000000" w:themeColor="text1"/>
          <w:sz w:val="44"/>
          <w:szCs w:val="44"/>
        </w:rPr>
      </w:pP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技</w:t>
      </w: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术</w:t>
      </w: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规</w:t>
      </w:r>
    </w:p>
    <w:p>
      <w:pPr>
        <w:adjustRightInd w:val="0"/>
        <w:snapToGrid w:val="0"/>
        <w:spacing w:line="36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格</w:t>
      </w:r>
    </w:p>
    <w:p>
      <w:pPr>
        <w:adjustRightInd w:val="0"/>
        <w:snapToGrid w:val="0"/>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44"/>
          <w:szCs w:val="44"/>
        </w:rPr>
        <w:t>书</w:t>
      </w:r>
    </w:p>
    <w:bookmarkEnd w:id="0"/>
    <w:p>
      <w:pPr>
        <w:spacing w:line="560" w:lineRule="exact"/>
        <w:ind w:firstLine="280" w:firstLineChars="100"/>
        <w:rPr>
          <w:rFonts w:ascii="Times New Roman" w:hAnsi="Times New Roman" w:cs="Times New Roman"/>
          <w:color w:val="000000" w:themeColor="text1"/>
          <w:sz w:val="28"/>
          <w:szCs w:val="28"/>
        </w:rPr>
      </w:pPr>
      <w:bookmarkStart w:id="1" w:name="_Toc426550707"/>
      <w:bookmarkStart w:id="2" w:name="_Toc21641"/>
    </w:p>
    <w:p>
      <w:pPr>
        <w:spacing w:line="560" w:lineRule="exact"/>
        <w:rPr>
          <w:rFonts w:ascii="Times New Roman" w:hAnsi="Times New Roman" w:cs="Times New Roman"/>
          <w:color w:val="000000" w:themeColor="text1"/>
          <w:sz w:val="28"/>
          <w:szCs w:val="28"/>
        </w:rPr>
      </w:pPr>
    </w:p>
    <w:p>
      <w:pPr>
        <w:spacing w:line="560" w:lineRule="exact"/>
        <w:jc w:val="center"/>
        <w:rPr>
          <w:rFonts w:hint="eastAsia" w:ascii="Times New Roman" w:hAnsi="Times New Roman" w:cs="Times New Roman"/>
          <w:color w:val="000000" w:themeColor="text1"/>
          <w:sz w:val="28"/>
          <w:szCs w:val="28"/>
          <w:lang w:val="en-US" w:eastAsia="zh-CN"/>
        </w:rPr>
      </w:pPr>
      <w:r>
        <w:rPr>
          <w:rFonts w:hint="eastAsia" w:ascii="Times New Roman" w:hAnsi="Times New Roman" w:cs="Times New Roman"/>
          <w:color w:val="000000" w:themeColor="text1"/>
          <w:sz w:val="28"/>
          <w:szCs w:val="28"/>
          <w:lang w:val="en-US" w:eastAsia="zh-CN"/>
        </w:rPr>
        <w:t xml:space="preserve">   </w:t>
      </w:r>
    </w:p>
    <w:p>
      <w:pPr>
        <w:spacing w:line="560" w:lineRule="exact"/>
        <w:jc w:val="center"/>
        <w:rPr>
          <w:rFonts w:hint="eastAsia" w:ascii="Times New Roman" w:hAnsi="Times New Roman" w:cs="Times New Roman"/>
          <w:color w:val="000000" w:themeColor="text1"/>
          <w:sz w:val="28"/>
          <w:szCs w:val="28"/>
          <w:lang w:val="en-US" w:eastAsia="zh-CN"/>
        </w:rPr>
      </w:pPr>
    </w:p>
    <w:p>
      <w:pPr>
        <w:spacing w:line="560" w:lineRule="exact"/>
        <w:jc w:val="center"/>
        <w:rPr>
          <w:rFonts w:hint="eastAsia" w:ascii="Times New Roman" w:hAnsi="Times New Roman" w:cs="Times New Roman"/>
          <w:color w:val="000000" w:themeColor="text1"/>
          <w:sz w:val="28"/>
          <w:szCs w:val="28"/>
          <w:lang w:val="en-US" w:eastAsia="zh-CN"/>
        </w:rPr>
      </w:pPr>
    </w:p>
    <w:p>
      <w:pPr>
        <w:spacing w:line="560" w:lineRule="exact"/>
        <w:jc w:val="center"/>
        <w:rPr>
          <w:rFonts w:hint="default" w:ascii="Times New Roman" w:hAnsi="Times New Roman" w:cs="Times New Roman"/>
          <w:color w:val="000000" w:themeColor="text1"/>
          <w:sz w:val="28"/>
          <w:szCs w:val="28"/>
          <w:lang w:val="en-US" w:eastAsia="zh-CN"/>
        </w:rPr>
      </w:pPr>
    </w:p>
    <w:p>
      <w:pPr>
        <w:spacing w:line="560" w:lineRule="exact"/>
        <w:rPr>
          <w:rFonts w:ascii="Times New Roman" w:hAnsi="Times New Roman" w:cs="Times New Roman"/>
          <w:color w:val="000000" w:themeColor="text1"/>
          <w:sz w:val="28"/>
          <w:szCs w:val="28"/>
        </w:rPr>
      </w:pPr>
    </w:p>
    <w:p>
      <w:pPr>
        <w:spacing w:line="560" w:lineRule="exact"/>
        <w:jc w:val="center"/>
        <w:rPr>
          <w:rFonts w:ascii="Times New Roman" w:hAnsi="Times New Roman" w:cs="Times New Roman"/>
          <w:color w:val="000000" w:themeColor="text1"/>
          <w:sz w:val="28"/>
          <w:szCs w:val="28"/>
        </w:rPr>
      </w:pPr>
    </w:p>
    <w:p>
      <w:pPr>
        <w:spacing w:line="560" w:lineRule="exact"/>
        <w:jc w:val="center"/>
        <w:rPr>
          <w:rFonts w:hint="eastAsia" w:ascii="Times New Roman" w:hAnsi="Times New Roman" w:cs="Times New Roman" w:eastAsiaTheme="minorEastAsia"/>
          <w:color w:val="000000" w:themeColor="text1"/>
          <w:sz w:val="24"/>
          <w:lang w:eastAsia="zh-CN"/>
        </w:rPr>
      </w:pPr>
      <w:bookmarkStart w:id="3" w:name="_Toc371353775"/>
      <w:bookmarkStart w:id="4" w:name="_Toc378091629"/>
      <w:r>
        <w:rPr>
          <w:rFonts w:hint="eastAsia" w:ascii="Times New Roman" w:hAnsi="Times New Roman" w:cs="Times New Roman"/>
          <w:color w:val="000000" w:themeColor="text1"/>
          <w:sz w:val="32"/>
          <w:szCs w:val="32"/>
          <w:lang w:val="en-US" w:eastAsia="zh-CN"/>
        </w:rPr>
        <w:t xml:space="preserve"> </w:t>
      </w:r>
    </w:p>
    <w:p>
      <w:pPr>
        <w:pStyle w:val="3"/>
        <w:spacing w:line="360" w:lineRule="auto"/>
        <w:rPr>
          <w:rFonts w:ascii="宋体" w:hAnsi="宋体" w:eastAsia="宋体" w:cs="Times New Roman"/>
          <w:bCs w:val="0"/>
          <w:color w:val="000000" w:themeColor="text1"/>
          <w:sz w:val="24"/>
          <w:szCs w:val="24"/>
        </w:rPr>
      </w:pPr>
      <w:r>
        <w:rPr>
          <w:rFonts w:hint="eastAsia" w:ascii="宋体" w:hAnsi="宋体" w:eastAsia="宋体" w:cs="Times New Roman"/>
          <w:bCs w:val="0"/>
          <w:color w:val="000000" w:themeColor="text1"/>
          <w:sz w:val="24"/>
          <w:szCs w:val="24"/>
        </w:rPr>
        <w:t>一、</w:t>
      </w:r>
      <w:r>
        <w:rPr>
          <w:rFonts w:ascii="宋体" w:hAnsi="宋体" w:eastAsia="宋体" w:cs="Times New Roman"/>
          <w:bCs w:val="0"/>
          <w:color w:val="000000" w:themeColor="text1"/>
          <w:sz w:val="24"/>
          <w:szCs w:val="24"/>
        </w:rPr>
        <w:t xml:space="preserve"> </w:t>
      </w:r>
      <w:bookmarkEnd w:id="3"/>
      <w:bookmarkEnd w:id="4"/>
      <w:bookmarkStart w:id="5" w:name="_Toc375489056"/>
      <w:bookmarkStart w:id="6" w:name="_Toc375491703"/>
      <w:bookmarkStart w:id="7" w:name="_Toc378091631"/>
      <w:bookmarkStart w:id="8" w:name="_Toc375475915"/>
      <w:bookmarkStart w:id="9" w:name="_Toc375478002"/>
      <w:bookmarkStart w:id="10" w:name="_Toc375483431"/>
      <w:bookmarkStart w:id="11" w:name="_Toc375490146"/>
      <w:bookmarkStart w:id="12" w:name="_Toc375484438"/>
      <w:bookmarkStart w:id="13" w:name="_Toc375488692"/>
      <w:bookmarkStart w:id="14" w:name="_Toc375490918"/>
      <w:bookmarkStart w:id="15" w:name="_Toc375492432"/>
      <w:r>
        <w:rPr>
          <w:rFonts w:ascii="宋体" w:hAnsi="宋体" w:eastAsia="宋体" w:cs="Times New Roman"/>
          <w:bCs w:val="0"/>
          <w:color w:val="000000" w:themeColor="text1"/>
          <w:sz w:val="24"/>
          <w:szCs w:val="24"/>
        </w:rPr>
        <w:t>项目概况</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480" w:firstLineChars="200"/>
        <w:rPr>
          <w:rFonts w:ascii="宋体" w:hAnsi="宋体" w:eastAsia="宋体" w:cs="Times New Roman"/>
          <w:color w:val="000000" w:themeColor="text1"/>
          <w:sz w:val="24"/>
        </w:rPr>
      </w:pPr>
      <w:r>
        <w:rPr>
          <w:rFonts w:ascii="宋体" w:hAnsi="宋体" w:eastAsia="宋体" w:cs="Times New Roman"/>
          <w:color w:val="000000" w:themeColor="text1"/>
          <w:sz w:val="24"/>
        </w:rPr>
        <w:t>项目名称：芜湖新兴铸管有限责任公司</w:t>
      </w:r>
      <w:r>
        <w:rPr>
          <w:rFonts w:hint="eastAsia" w:ascii="宋体" w:hAnsi="宋体" w:eastAsia="宋体" w:cs="Times New Roman"/>
          <w:color w:val="000000" w:themeColor="text1"/>
          <w:sz w:val="24"/>
        </w:rPr>
        <w:t>综合料场封闭工程超细多功能雾炮。</w:t>
      </w:r>
    </w:p>
    <w:p>
      <w:pPr>
        <w:spacing w:line="360" w:lineRule="auto"/>
        <w:ind w:firstLine="480" w:firstLineChars="200"/>
        <w:rPr>
          <w:rFonts w:ascii="宋体" w:hAnsi="宋体" w:eastAsia="宋体" w:cs="Times New Roman"/>
          <w:color w:val="000000" w:themeColor="text1"/>
          <w:sz w:val="24"/>
        </w:rPr>
      </w:pPr>
      <w:r>
        <w:rPr>
          <w:rFonts w:ascii="宋体" w:hAnsi="宋体" w:eastAsia="宋体" w:cs="Times New Roman"/>
          <w:color w:val="000000" w:themeColor="text1"/>
          <w:sz w:val="24"/>
        </w:rPr>
        <w:t>所在位置：本工程位于</w:t>
      </w:r>
      <w:r>
        <w:rPr>
          <w:rFonts w:hint="eastAsia" w:ascii="宋体" w:hAnsi="宋体" w:eastAsia="宋体" w:cs="Times New Roman"/>
          <w:color w:val="000000" w:themeColor="text1"/>
          <w:sz w:val="24"/>
        </w:rPr>
        <w:t>芜湖市三山区芜湖新兴铸管</w:t>
      </w:r>
      <w:r>
        <w:rPr>
          <w:rFonts w:ascii="宋体" w:hAnsi="宋体" w:eastAsia="宋体" w:cs="Times New Roman"/>
          <w:color w:val="000000" w:themeColor="text1"/>
          <w:sz w:val="24"/>
        </w:rPr>
        <w:t>有限责任公司厂区内。</w:t>
      </w:r>
    </w:p>
    <w:p>
      <w:pPr>
        <w:widowControl/>
        <w:shd w:val="clear" w:color="auto" w:fill="FFFFFF"/>
        <w:spacing w:line="360" w:lineRule="auto"/>
        <w:ind w:left="360" w:hanging="360" w:hangingChars="150"/>
        <w:jc w:val="left"/>
        <w:rPr>
          <w:rFonts w:ascii="宋体" w:hAnsi="宋体" w:eastAsia="宋体" w:cs="Times New Roman"/>
          <w:color w:val="000000" w:themeColor="text1"/>
          <w:sz w:val="24"/>
        </w:rPr>
      </w:pPr>
      <w:bookmarkStart w:id="16" w:name="_Toc375491704"/>
      <w:bookmarkStart w:id="17" w:name="_Toc375483432"/>
      <w:bookmarkStart w:id="18" w:name="_Toc375490919"/>
      <w:bookmarkStart w:id="19" w:name="_Toc375489057"/>
      <w:bookmarkStart w:id="20" w:name="_Toc375475916"/>
      <w:bookmarkStart w:id="21" w:name="_Toc378091632"/>
      <w:bookmarkStart w:id="22" w:name="_Toc375478003"/>
      <w:bookmarkStart w:id="23" w:name="_Toc375484439"/>
      <w:bookmarkStart w:id="24" w:name="_Toc375490147"/>
      <w:bookmarkStart w:id="25" w:name="_Toc375488693"/>
      <w:bookmarkStart w:id="26" w:name="_Toc375492433"/>
      <w:r>
        <w:rPr>
          <w:rFonts w:hint="eastAsia" w:ascii="宋体" w:hAnsi="宋体" w:eastAsia="宋体" w:cs="Times New Roman"/>
          <w:color w:val="000000" w:themeColor="text1"/>
          <w:sz w:val="24"/>
        </w:rPr>
        <w:t>二、</w:t>
      </w:r>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Times New Roman"/>
          <w:b/>
          <w:color w:val="000000" w:themeColor="text1"/>
          <w:sz w:val="24"/>
        </w:rPr>
        <w:t>超细多功能雾炮</w:t>
      </w:r>
      <w:r>
        <w:rPr>
          <w:rFonts w:hint="eastAsia" w:ascii="宋体" w:hAnsi="宋体" w:eastAsia="宋体" w:cs="Times New Roman"/>
          <w:color w:val="000000" w:themeColor="text1"/>
          <w:sz w:val="24"/>
        </w:rPr>
        <w:t>。主要设备包括：风送式远程射雾器、吸水泵组、水过滤系统、控制系统（手动/自动/遥控）。</w:t>
      </w:r>
    </w:p>
    <w:p>
      <w:pPr>
        <w:spacing w:line="500" w:lineRule="exact"/>
        <w:rPr>
          <w:rFonts w:ascii="宋体" w:hAnsi="宋体" w:eastAsia="宋体" w:cs="宋体"/>
          <w:b/>
          <w:bCs/>
          <w:color w:val="000000" w:themeColor="text1"/>
          <w:sz w:val="24"/>
        </w:rPr>
      </w:pPr>
      <w:r>
        <w:rPr>
          <w:rFonts w:hint="eastAsia" w:ascii="宋体" w:hAnsi="宋体" w:eastAsia="宋体" w:cs="宋体"/>
          <w:b/>
          <w:bCs/>
          <w:color w:val="000000" w:themeColor="text1"/>
          <w:sz w:val="24"/>
        </w:rPr>
        <w:t>三、 技术要求</w:t>
      </w:r>
    </w:p>
    <w:p>
      <w:pPr>
        <w:spacing w:line="500" w:lineRule="exact"/>
        <w:rPr>
          <w:rFonts w:ascii="宋体" w:hAnsi="宋体" w:eastAsia="宋体" w:cs="宋体"/>
          <w:b/>
          <w:bCs/>
          <w:color w:val="000000" w:themeColor="text1"/>
          <w:sz w:val="24"/>
        </w:rPr>
      </w:pPr>
      <w:r>
        <w:rPr>
          <w:rFonts w:hint="eastAsia" w:ascii="宋体" w:hAnsi="宋体" w:eastAsia="宋体" w:cs="宋体"/>
          <w:b/>
          <w:bCs/>
          <w:color w:val="000000" w:themeColor="text1"/>
          <w:sz w:val="24"/>
        </w:rPr>
        <w:t>1. 性能及效果、质量要求</w:t>
      </w:r>
    </w:p>
    <w:p>
      <w:pPr>
        <w:pStyle w:val="6"/>
        <w:adjustRightInd w:val="0"/>
        <w:snapToGrid w:val="0"/>
        <w:ind w:firstLineChars="0"/>
        <w:rPr>
          <w:color w:val="000000" w:themeColor="text1"/>
        </w:rPr>
      </w:pPr>
      <w:r>
        <w:rPr>
          <w:rFonts w:hint="eastAsia" w:eastAsia="宋体" w:cs="Times New Roman"/>
          <w:color w:val="000000" w:themeColor="text1"/>
        </w:rPr>
        <w:t>1.1.</w:t>
      </w:r>
      <w:r>
        <w:rPr>
          <w:rFonts w:hint="eastAsia" w:eastAsia="宋体" w:cs="Times New Roman"/>
          <w:color w:val="auto"/>
        </w:rPr>
        <w:t xml:space="preserve"> </w:t>
      </w:r>
      <w:r>
        <w:rPr>
          <w:rFonts w:hint="eastAsia"/>
          <w:color w:val="auto"/>
        </w:rPr>
        <w:t>投标方必须是射雾器</w:t>
      </w:r>
      <w:bookmarkStart w:id="52" w:name="_GoBack"/>
      <w:bookmarkEnd w:id="52"/>
      <w:r>
        <w:rPr>
          <w:rFonts w:hint="eastAsia"/>
          <w:color w:val="auto"/>
        </w:rPr>
        <w:t>专业生产厂家，需具有安全生产许可证，须通过ISO9001质量管理体系认证、ISO14001环境管理体系认证。投标</w:t>
      </w:r>
      <w:r>
        <w:rPr>
          <w:rFonts w:hint="eastAsia"/>
          <w:color w:val="000000" w:themeColor="text1"/>
        </w:rPr>
        <w:t>方负责射雾器指导安装、调试和验收.</w:t>
      </w:r>
    </w:p>
    <w:p>
      <w:pPr>
        <w:pStyle w:val="6"/>
        <w:adjustRightInd w:val="0"/>
        <w:snapToGrid w:val="0"/>
        <w:ind w:firstLine="360" w:firstLineChars="150"/>
        <w:rPr>
          <w:color w:val="000000" w:themeColor="text1"/>
        </w:rPr>
      </w:pPr>
      <w:r>
        <w:rPr>
          <w:rFonts w:hint="eastAsia" w:eastAsia="宋体" w:cs="Times New Roman"/>
          <w:color w:val="000000" w:themeColor="text1"/>
        </w:rPr>
        <w:t>1.2.</w:t>
      </w:r>
      <w:r>
        <w:rPr>
          <w:rFonts w:hint="eastAsia"/>
          <w:color w:val="000000" w:themeColor="text1"/>
        </w:rPr>
        <w:t>远程射雾器须具有国家级或省级产品质量监督部门出具的质量检验检测报告，投标时投标单位需现场提供上述证书原件。</w:t>
      </w:r>
    </w:p>
    <w:p>
      <w:pPr>
        <w:adjustRightInd w:val="0"/>
        <w:snapToGrid w:val="0"/>
        <w:spacing w:line="360" w:lineRule="auto"/>
        <w:ind w:firstLine="360" w:firstLineChars="150"/>
        <w:rPr>
          <w:rFonts w:ascii="宋体" w:hAnsi="宋体" w:eastAsia="宋体" w:cs="Times New Roman"/>
          <w:color w:val="000000" w:themeColor="text1"/>
          <w:sz w:val="24"/>
        </w:rPr>
      </w:pPr>
      <w:r>
        <w:rPr>
          <w:rFonts w:hint="eastAsia" w:ascii="宋体" w:hAnsi="宋体" w:eastAsia="宋体" w:cs="Times New Roman"/>
          <w:color w:val="000000" w:themeColor="text1"/>
          <w:sz w:val="24"/>
        </w:rPr>
        <w:t xml:space="preserve">1.3. </w:t>
      </w:r>
      <w:r>
        <w:rPr>
          <w:rFonts w:hint="eastAsia" w:ascii="宋体" w:hAnsi="宋体" w:eastAsia="宋体" w:cs="宋体"/>
          <w:color w:val="000000" w:themeColor="text1"/>
          <w:sz w:val="24"/>
        </w:rPr>
        <w:t>能提供以下认证及报告的优先考虑：</w:t>
      </w:r>
      <w:r>
        <w:rPr>
          <w:rFonts w:hint="eastAsia" w:ascii="宋体" w:hAnsi="宋体" w:eastAsia="宋体" w:cs="Times New Roman"/>
          <w:color w:val="000000" w:themeColor="text1"/>
          <w:sz w:val="24"/>
        </w:rPr>
        <w:t>。</w:t>
      </w:r>
      <w:r>
        <w:rPr>
          <w:rFonts w:hint="eastAsia" w:ascii="宋体" w:hAnsi="宋体" w:eastAsia="宋体" w:cs="宋体"/>
          <w:color w:val="000000" w:themeColor="text1"/>
          <w:sz w:val="24"/>
        </w:rPr>
        <w:t>产品大气污染治理的效果报告；国家环保产品质量监督检验中心提供的检验报告（包括射程、流量、压力等）；。</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rPr>
        <w:t>1.4. 远程射雾器能在供水压力为0.1～0.5Mpa的情况下，通过自身的加压装置将水输送至喷头，由风机将雾化的水珠颗粒抛射至规定射程（0.2米/秒以下风速状态）。前端最大射程的50%，不应该有很明显的水雾降落在地上。</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rPr>
        <w:t>1.5. 100米远程超细多功能雾炮在静风状态下，人站在100米处，设备连续喷射细水雾4分钟以上，人身上能明显感觉水雾不断飘来，严格按照喷雾降尘设备行业标准的规定调试，并达到效果。</w:t>
      </w:r>
    </w:p>
    <w:p>
      <w:pPr>
        <w:adjustRightInd w:val="0"/>
        <w:snapToGrid w:val="0"/>
        <w:spacing w:line="360" w:lineRule="auto"/>
        <w:ind w:firstLine="360" w:firstLineChars="150"/>
        <w:rPr>
          <w:rFonts w:ascii="宋体" w:hAnsi="宋体" w:eastAsia="宋体" w:cs="Times New Roman"/>
          <w:color w:val="000000" w:themeColor="text1"/>
          <w:sz w:val="24"/>
        </w:rPr>
      </w:pPr>
      <w:r>
        <w:rPr>
          <w:rFonts w:hint="eastAsia" w:ascii="宋体" w:hAnsi="宋体" w:eastAsia="宋体" w:cs="Times New Roman"/>
          <w:color w:val="000000" w:themeColor="text1"/>
          <w:sz w:val="24"/>
        </w:rPr>
        <w:t xml:space="preserve"> 1.6. 超细多功能雾炮喷射的水雾能对悬浮在空气中的粉尘颗粒进行有效地吸附，使粉尘受重力作用沉降，从而达到抑尘作用。</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rPr>
        <w:t>1.7. 超细多功能雾炮具有泄水功能，当装置停止工作时，管道内的水可以排净，预防在冬天零下温度的时候，不会冻坏相关的设备及配件。</w:t>
      </w:r>
    </w:p>
    <w:p>
      <w:pPr>
        <w:adjustRightInd w:val="0"/>
        <w:snapToGrid w:val="0"/>
        <w:spacing w:line="360" w:lineRule="auto"/>
        <w:ind w:firstLine="480" w:firstLineChars="200"/>
        <w:rPr>
          <w:rFonts w:ascii="宋体" w:hAnsi="宋体" w:eastAsia="宋体" w:cs="Times New Roman"/>
          <w:color w:val="000000" w:themeColor="text1"/>
          <w:sz w:val="24"/>
        </w:rPr>
      </w:pPr>
      <w:r>
        <w:rPr>
          <w:rFonts w:hint="eastAsia" w:ascii="宋体" w:hAnsi="宋体" w:eastAsia="宋体" w:cs="Times New Roman"/>
          <w:color w:val="000000" w:themeColor="text1"/>
          <w:sz w:val="24"/>
        </w:rPr>
        <w:t>1.8. 超细多功能雾炮采用双管环形喷雾技术，喷圈必需全部裸露在风筒前端，易于调节水量大小及更换不同大小口径的喷嘴，来达到现场最佳效果。</w:t>
      </w:r>
    </w:p>
    <w:p>
      <w:pPr>
        <w:widowControl/>
        <w:shd w:val="clear" w:color="auto" w:fill="FFFFFF"/>
        <w:spacing w:line="360" w:lineRule="auto"/>
        <w:ind w:firstLine="465"/>
        <w:jc w:val="left"/>
        <w:rPr>
          <w:rFonts w:ascii="宋体" w:hAnsi="宋体" w:eastAsia="宋体" w:cs="宋体"/>
          <w:color w:val="000000" w:themeColor="text1"/>
          <w:sz w:val="24"/>
        </w:rPr>
      </w:pPr>
      <w:r>
        <w:rPr>
          <w:rFonts w:hint="eastAsia" w:ascii="宋体" w:hAnsi="宋体" w:eastAsia="宋体" w:cs="Times New Roman"/>
          <w:color w:val="000000" w:themeColor="text1"/>
          <w:sz w:val="24"/>
        </w:rPr>
        <w:t>1.9.  超细多功能雾炮单台不少于100个喷头。</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1.10.在</w:t>
      </w:r>
      <w:r>
        <w:rPr>
          <w:rFonts w:hint="eastAsia" w:ascii="宋体" w:hAnsi="宋体" w:eastAsia="宋体" w:cs="宋体"/>
          <w:color w:val="000000" w:themeColor="text1"/>
          <w:sz w:val="24"/>
          <w:highlight w:val="none"/>
        </w:rPr>
        <w:t>离设备10米处测</w:t>
      </w:r>
      <w:r>
        <w:rPr>
          <w:rFonts w:hint="eastAsia" w:ascii="宋体" w:hAnsi="宋体" w:eastAsia="宋体" w:cs="宋体"/>
          <w:color w:val="000000" w:themeColor="text1"/>
          <w:sz w:val="24"/>
        </w:rPr>
        <w:t xml:space="preserve">试，噪音不能超过85分贝，并能提供国家相关部门的检验报告。   </w:t>
      </w:r>
    </w:p>
    <w:p>
      <w:pPr>
        <w:widowControl/>
        <w:shd w:val="clear" w:color="auto" w:fill="FFFFFF"/>
        <w:spacing w:line="360" w:lineRule="auto"/>
        <w:ind w:firstLine="465"/>
        <w:jc w:val="left"/>
        <w:rPr>
          <w:rFonts w:ascii="宋体" w:hAnsi="宋体" w:eastAsia="宋体" w:cs="宋体"/>
          <w:color w:val="000000" w:themeColor="text1"/>
          <w:sz w:val="24"/>
        </w:rPr>
      </w:pPr>
      <w:r>
        <w:rPr>
          <w:rFonts w:hint="eastAsia" w:ascii="宋体" w:hAnsi="宋体" w:eastAsia="宋体" w:cs="宋体"/>
          <w:color w:val="000000" w:themeColor="text1"/>
          <w:sz w:val="24"/>
        </w:rPr>
        <w:t>1.11. 喷射</w:t>
      </w:r>
      <w:r>
        <w:rPr>
          <w:rFonts w:hint="eastAsia" w:ascii="宋体" w:hAnsi="宋体" w:eastAsia="宋体" w:cs="宋体"/>
          <w:color w:val="000000" w:themeColor="text1"/>
          <w:sz w:val="24"/>
          <w:highlight w:val="none"/>
        </w:rPr>
        <w:t>的水雾颗粒直径≤30</w:t>
      </w:r>
      <w:r>
        <w:rPr>
          <w:rFonts w:hint="eastAsia" w:ascii="宋体" w:hAnsi="宋体" w:eastAsia="宋体" w:cs="宋体"/>
          <w:color w:val="000000" w:themeColor="text1"/>
          <w:sz w:val="24"/>
        </w:rPr>
        <w:t>µm，能对悬浮在空气中的粉尘颗粒进行有效地吸附，使粉尘受重力作用沉降，从而达到抑尘作用。</w:t>
      </w:r>
      <w:r>
        <w:rPr>
          <w:rFonts w:hint="eastAsia" w:ascii="宋体" w:hAnsi="宋体" w:eastAsia="宋体" w:cs="宋体"/>
          <w:color w:val="000000" w:themeColor="text1"/>
          <w:sz w:val="24"/>
        </w:rPr>
        <w:br w:type="textWrapping"/>
      </w:r>
      <w:r>
        <w:rPr>
          <w:rFonts w:hint="eastAsia" w:ascii="宋体" w:hAnsi="宋体" w:eastAsia="宋体" w:cs="宋体"/>
          <w:b/>
          <w:bCs/>
          <w:color w:val="000000" w:themeColor="text1"/>
          <w:sz w:val="24"/>
        </w:rPr>
        <w:t>2、主要附属材料性能要求</w:t>
      </w:r>
      <w:r>
        <w:rPr>
          <w:rFonts w:hint="eastAsia" w:ascii="宋体" w:hAnsi="宋体" w:eastAsia="宋体" w:cs="宋体"/>
          <w:b/>
          <w:bCs/>
          <w:color w:val="000000" w:themeColor="text1"/>
          <w:sz w:val="24"/>
        </w:rPr>
        <w:br w:type="textWrapping"/>
      </w:r>
      <w:r>
        <w:rPr>
          <w:rFonts w:hint="eastAsia" w:ascii="宋体" w:hAnsi="宋体" w:eastAsia="宋体" w:cs="宋体"/>
          <w:color w:val="000000" w:themeColor="text1"/>
          <w:sz w:val="24"/>
        </w:rPr>
        <w:t xml:space="preserve">   2. 1. 设备喷嘴采用原装进口（整套喷嘴为耐腐蚀不锈钢棒材加工而成，不得全部或局部采用铸造品或铜制品）。设备喷嘴采用可调喷嘴，喷嘴为二部分组成，易于拆分清洗，在水质较差的时候，能简单、轻便的清理杂质，恢复正常而不影响正常的作业。</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2.2. 所有的材料及零部件（或元器件）符合有关规范的要求，且是新型的和优质的，并能满足当地环境的要求。风筒板厚≥3mm，其它材料板厚≥2mm。</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2.3. 螺栓：远程射雾器外露的螺栓，材质为304不锈钢；其他结构件螺栓采用高强度螺栓。所用管材、管件、阀门及压力表，均为不锈钢304材质。</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rPr>
        <w:t>2.4. 配置水加压泵（为两套立式离心泵串联使用），轴承采用全密封进口轴承。</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rPr>
        <w:t>2.5. 动力电缆及水管线接口，其中动力电缆应配置重载连接器防水接头，接头防护等级为IP65或以上.</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2.6. 风筒支撑架及固定底座的连接，使用强度较大的回转支承结构，不使用强度较小易损耗的轴承、铜合金或高分子塑料。转运时必需是无声音，而且顺畅.</w:t>
      </w: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rPr>
        <w:t xml:space="preserve">2.7. </w:t>
      </w:r>
      <w:r>
        <w:rPr>
          <w:rFonts w:hint="eastAsia" w:ascii="宋体" w:hAnsi="宋体" w:eastAsia="宋体" w:cs="Times New Roman"/>
          <w:color w:val="000000" w:themeColor="text1"/>
          <w:sz w:val="24"/>
        </w:rPr>
        <w:t>超细多功能雾炮</w:t>
      </w:r>
      <w:r>
        <w:rPr>
          <w:rFonts w:hint="eastAsia" w:ascii="宋体" w:hAnsi="宋体" w:eastAsia="宋体" w:cs="宋体"/>
          <w:color w:val="000000" w:themeColor="text1"/>
          <w:sz w:val="24"/>
        </w:rPr>
        <w:t>配置风机及安全防护装置。风机的叶片为耐腐蚀的铝合金制作，不使用强度较小易损耗的高强塑料制作，且出厂前必须经过动平衡测试，并提供检测报告。</w:t>
      </w:r>
    </w:p>
    <w:p>
      <w:pPr>
        <w:pStyle w:val="6"/>
        <w:adjustRightInd w:val="0"/>
        <w:snapToGrid w:val="0"/>
        <w:ind w:firstLineChars="0"/>
        <w:rPr>
          <w:color w:val="000000" w:themeColor="text1"/>
        </w:rPr>
      </w:pPr>
      <w:r>
        <w:rPr>
          <w:rFonts w:hint="eastAsia" w:eastAsia="宋体" w:cs="宋体"/>
          <w:color w:val="000000" w:themeColor="text1"/>
        </w:rPr>
        <w:t>2.8. 设备配置两级不锈钢304水过滤装置，拆装容易并能够适用国家标准中水水质且不堵塞喷头。</w:t>
      </w:r>
      <w:r>
        <w:rPr>
          <w:rFonts w:hint="eastAsia"/>
          <w:color w:val="000000" w:themeColor="text1"/>
        </w:rPr>
        <w:t>过滤精度达到5</w:t>
      </w:r>
      <w:r>
        <w:rPr>
          <w:color w:val="000000" w:themeColor="text1"/>
        </w:rPr>
        <w:t>µm</w:t>
      </w:r>
      <w:r>
        <w:rPr>
          <w:rFonts w:hint="eastAsia"/>
          <w:color w:val="000000" w:themeColor="text1"/>
        </w:rPr>
        <w:t>。</w:t>
      </w:r>
      <w:r>
        <w:rPr>
          <w:rFonts w:hint="eastAsia" w:eastAsia="宋体" w:cs="宋体"/>
          <w:color w:val="000000" w:themeColor="text1"/>
        </w:rPr>
        <w:t xml:space="preserve">  </w:t>
      </w:r>
    </w:p>
    <w:p>
      <w:pPr>
        <w:spacing w:line="360" w:lineRule="auto"/>
        <w:rPr>
          <w:rFonts w:ascii="宋体" w:hAnsi="宋体" w:eastAsia="宋体" w:cs="Times New Roman"/>
          <w:b/>
          <w:bCs/>
          <w:color w:val="000000" w:themeColor="text1"/>
          <w:sz w:val="24"/>
        </w:rPr>
      </w:pPr>
      <w:r>
        <w:rPr>
          <w:rFonts w:hint="eastAsia" w:ascii="宋体" w:hAnsi="宋体" w:eastAsia="宋体" w:cs="宋体"/>
          <w:color w:val="000000" w:themeColor="text1"/>
          <w:sz w:val="24"/>
        </w:rPr>
        <w:t>2.9. 防爆型需满足防爆要求，标准为Extd A21 IP65 T135℃。必须有防爆合格证，并在产品型号中有Ex防爆标识。</w:t>
      </w:r>
    </w:p>
    <w:p>
      <w:pPr>
        <w:widowControl/>
        <w:shd w:val="clear" w:color="auto" w:fill="FFFFFF"/>
        <w:spacing w:line="360" w:lineRule="auto"/>
        <w:ind w:firstLine="480" w:firstLineChars="200"/>
        <w:jc w:val="left"/>
        <w:rPr>
          <w:rFonts w:ascii="宋体" w:hAnsi="宋体" w:eastAsia="宋体" w:cs="宋体"/>
          <w:color w:val="000000" w:themeColor="text1"/>
          <w:sz w:val="24"/>
        </w:rPr>
      </w:pPr>
    </w:p>
    <w:p>
      <w:pPr>
        <w:widowControl/>
        <w:shd w:val="clear" w:color="auto" w:fill="FFFFFF"/>
        <w:spacing w:line="360" w:lineRule="auto"/>
        <w:ind w:firstLine="480" w:firstLineChars="200"/>
        <w:jc w:val="left"/>
        <w:rPr>
          <w:rFonts w:ascii="宋体" w:hAnsi="宋体" w:eastAsia="宋体" w:cs="宋体"/>
          <w:color w:val="000000" w:themeColor="text1"/>
          <w:sz w:val="24"/>
        </w:rPr>
      </w:pPr>
      <w:r>
        <w:rPr>
          <w:rFonts w:hint="eastAsia" w:ascii="宋体" w:hAnsi="宋体" w:eastAsia="宋体" w:cs="宋体"/>
          <w:color w:val="000000" w:themeColor="text1"/>
          <w:sz w:val="24"/>
        </w:rPr>
        <w:t xml:space="preserve">2.10. </w:t>
      </w:r>
      <w:r>
        <w:rPr>
          <w:rFonts w:hint="eastAsia" w:ascii="宋体" w:hAnsi="宋体" w:eastAsia="宋体" w:cs="Times New Roman"/>
          <w:color w:val="000000" w:themeColor="text1"/>
          <w:sz w:val="24"/>
        </w:rPr>
        <w:t>超细多功能雾炮</w:t>
      </w:r>
      <w:r>
        <w:rPr>
          <w:rFonts w:hint="eastAsia" w:ascii="宋体" w:hAnsi="宋体" w:eastAsia="宋体" w:cs="宋体"/>
          <w:color w:val="000000" w:themeColor="text1"/>
          <w:sz w:val="24"/>
        </w:rPr>
        <w:t>风筒水管线和固定底座的水管线连接件为铜合金材质万向旋转连接器，防止软管连接处，因长时间连续旋转而损坏。</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2.11. 水泵和水泵电</w:t>
      </w:r>
      <w:r>
        <w:rPr>
          <w:rFonts w:hint="eastAsia" w:ascii="宋体" w:hAnsi="宋体" w:eastAsia="宋体" w:cs="宋体"/>
          <w:color w:val="000000" w:themeColor="text1"/>
          <w:sz w:val="24"/>
          <w:highlight w:val="none"/>
        </w:rPr>
        <w:t>机在雾炮下端，不外露，配</w:t>
      </w:r>
      <w:r>
        <w:rPr>
          <w:rFonts w:hint="eastAsia" w:ascii="宋体" w:hAnsi="宋体" w:eastAsia="宋体" w:cs="宋体"/>
          <w:color w:val="000000" w:themeColor="text1"/>
          <w:sz w:val="24"/>
        </w:rPr>
        <w:t>置不锈钢保护罩，确保使用安全。</w:t>
      </w:r>
    </w:p>
    <w:p>
      <w:pPr>
        <w:spacing w:line="50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2.12. 产品通过抛丸，提高油漆附着力，并有底漆、防锈漆、面漆，厚度不低于30-60微米。草绿色，表面喷塑，确保5年内在良好的环境下不掉色。</w:t>
      </w:r>
      <w:r>
        <w:rPr>
          <w:rFonts w:hint="eastAsia" w:ascii="宋体" w:hAnsi="宋体" w:eastAsia="宋体" w:cs="宋体"/>
          <w:color w:val="000000" w:themeColor="text1"/>
          <w:sz w:val="24"/>
        </w:rPr>
        <w:br w:type="textWrapping"/>
      </w:r>
      <w:r>
        <w:rPr>
          <w:rFonts w:hint="eastAsia" w:ascii="宋体" w:hAnsi="宋体" w:eastAsia="宋体" w:cs="宋体"/>
          <w:b/>
          <w:bCs/>
          <w:color w:val="000000" w:themeColor="text1"/>
          <w:sz w:val="24"/>
        </w:rPr>
        <w:t>3、供电和控制要求</w:t>
      </w:r>
      <w:r>
        <w:rPr>
          <w:rFonts w:hint="eastAsia" w:ascii="宋体" w:hAnsi="宋体" w:eastAsia="宋体" w:cs="宋体"/>
          <w:b/>
          <w:bCs/>
          <w:color w:val="000000" w:themeColor="text1"/>
          <w:sz w:val="24"/>
        </w:rPr>
        <w:br w:type="textWrapping"/>
      </w:r>
      <w:r>
        <w:rPr>
          <w:rFonts w:hint="eastAsia" w:ascii="宋体" w:hAnsi="宋体" w:eastAsia="宋体" w:cs="宋体"/>
          <w:color w:val="000000" w:themeColor="text1"/>
          <w:sz w:val="24"/>
        </w:rPr>
        <w:t xml:space="preserve">    3.1. </w:t>
      </w:r>
      <w:r>
        <w:rPr>
          <w:rFonts w:hint="eastAsia" w:ascii="宋体" w:hAnsi="宋体" w:eastAsia="宋体" w:cs="Times New Roman"/>
          <w:color w:val="000000" w:themeColor="text1"/>
          <w:sz w:val="24"/>
        </w:rPr>
        <w:t>超细多功能雾炮</w:t>
      </w:r>
      <w:r>
        <w:rPr>
          <w:rFonts w:hint="eastAsia" w:ascii="宋体" w:hAnsi="宋体" w:eastAsia="宋体" w:cs="宋体"/>
          <w:color w:val="000000" w:themeColor="text1"/>
          <w:sz w:val="24"/>
        </w:rPr>
        <w:t>需满足在AC380V三相四线电源下工作，而且连接简单，易于操作。</w:t>
      </w:r>
      <w:r>
        <w:rPr>
          <w:rFonts w:hint="eastAsia" w:ascii="宋体" w:hAnsi="宋体" w:eastAsia="宋体" w:cs="宋体"/>
          <w:color w:val="000000" w:themeColor="text1"/>
          <w:sz w:val="24"/>
        </w:rPr>
        <w:br w:type="textWrapping"/>
      </w:r>
      <w:r>
        <w:rPr>
          <w:rFonts w:hint="eastAsia" w:ascii="宋体" w:hAnsi="宋体" w:eastAsia="宋体" w:cs="宋体"/>
          <w:color w:val="000000" w:themeColor="text1"/>
          <w:sz w:val="24"/>
        </w:rPr>
        <w:t xml:space="preserve">   3.2. 控制方式：风机、水加压泵、旋转及俯仰机构均为电机驱动、俯仰机构为电动推杆，能达到手动/遥控/自动控制功能，且操作简单。遥控范围为100米左右，如需要可以增加至150米。</w:t>
      </w:r>
    </w:p>
    <w:p>
      <w:pPr>
        <w:pStyle w:val="6"/>
        <w:adjustRightInd w:val="0"/>
        <w:snapToGrid w:val="0"/>
        <w:ind w:firstLineChars="0"/>
        <w:rPr>
          <w:rFonts w:eastAsia="宋体" w:cs="宋体"/>
          <w:color w:val="000000" w:themeColor="text1"/>
        </w:rPr>
      </w:pPr>
      <w:r>
        <w:rPr>
          <w:rFonts w:hint="eastAsia" w:eastAsia="宋体" w:cs="宋体"/>
          <w:color w:val="000000" w:themeColor="text1"/>
        </w:rPr>
        <w:t xml:space="preserve">3.3. 具备缺水保护、相序保护、短路保护、漏电保护、过载保护、电动机保护功能。  </w:t>
      </w:r>
    </w:p>
    <w:p>
      <w:pPr>
        <w:pStyle w:val="6"/>
        <w:adjustRightInd w:val="0"/>
        <w:snapToGrid w:val="0"/>
        <w:ind w:firstLine="360" w:firstLineChars="150"/>
        <w:rPr>
          <w:rFonts w:eastAsia="宋体" w:cs="宋体"/>
          <w:color w:val="000000" w:themeColor="text1"/>
        </w:rPr>
      </w:pPr>
      <w:r>
        <w:rPr>
          <w:rFonts w:hint="eastAsia" w:eastAsia="宋体" w:cs="宋体"/>
          <w:color w:val="000000" w:themeColor="text1"/>
        </w:rPr>
        <w:t xml:space="preserve"> 3.4. 所有电气设备外壳都应具有防尘、防水功能。</w:t>
      </w:r>
    </w:p>
    <w:p>
      <w:pPr>
        <w:spacing w:line="500" w:lineRule="exact"/>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3.5. 电控系统，所有的开关、布线工整，颜色分类，必需符合国家标准，各布置平整、合理，电控箱必需可以上锁，预防安全问题。</w:t>
      </w:r>
    </w:p>
    <w:p>
      <w:pPr>
        <w:pStyle w:val="6"/>
        <w:adjustRightInd w:val="0"/>
        <w:snapToGrid w:val="0"/>
        <w:ind w:firstLineChars="0"/>
        <w:rPr>
          <w:color w:val="000000" w:themeColor="text1"/>
        </w:rPr>
      </w:pPr>
      <w:r>
        <w:rPr>
          <w:rFonts w:hint="eastAsia" w:eastAsia="宋体" w:cs="宋体"/>
          <w:color w:val="000000" w:themeColor="text1"/>
        </w:rPr>
        <w:t xml:space="preserve">3.6. </w:t>
      </w:r>
      <w:r>
        <w:rPr>
          <w:rFonts w:hint="eastAsia"/>
          <w:color w:val="000000" w:themeColor="text1"/>
        </w:rPr>
        <w:t>每台固定式</w:t>
      </w:r>
      <w:r>
        <w:rPr>
          <w:rFonts w:hint="eastAsia" w:eastAsia="宋体" w:cs="Times New Roman"/>
          <w:color w:val="000000" w:themeColor="text1"/>
        </w:rPr>
        <w:t>超细多功能雾炮均</w:t>
      </w:r>
      <w:r>
        <w:rPr>
          <w:rFonts w:hint="eastAsia"/>
          <w:color w:val="000000" w:themeColor="text1"/>
        </w:rPr>
        <w:t>设置一个控制箱，具有防尘、防水性能，防护等级为IP55或以上。控制箱箱体应采用304不锈钢箱体（防爆型控制箱为碳钢喷塑箱体）,箱体板厚不低于2mm。箱体为单门设计，不接受双门（含玻璃）设计。</w:t>
      </w:r>
    </w:p>
    <w:tbl>
      <w:tblPr>
        <w:tblStyle w:val="14"/>
        <w:tblW w:w="88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00"/>
        <w:gridCol w:w="2440"/>
        <w:gridCol w:w="32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8891" w:type="dxa"/>
            <w:gridSpan w:val="4"/>
            <w:tcBorders>
              <w:top w:val="nil"/>
              <w:left w:val="nil"/>
              <w:bottom w:val="double" w:color="auto" w:sz="4" w:space="0"/>
              <w:right w:val="nil"/>
            </w:tcBorders>
            <w:vAlign w:val="center"/>
          </w:tcPr>
          <w:p>
            <w:pPr>
              <w:ind w:left="-78" w:right="-73"/>
              <w:jc w:val="left"/>
              <w:rPr>
                <w:rFonts w:hAnsi="宋体" w:cs="宋体"/>
                <w:b/>
                <w:bCs/>
                <w:color w:val="000000" w:themeColor="text1"/>
                <w:szCs w:val="21"/>
              </w:rPr>
            </w:pPr>
            <w:r>
              <w:rPr>
                <w:rFonts w:hint="eastAsia" w:ascii="宋体" w:hAnsi="宋体" w:eastAsia="宋体" w:cs="宋体"/>
                <w:b/>
                <w:bCs/>
                <w:color w:val="000000" w:themeColor="text1"/>
                <w:szCs w:val="21"/>
              </w:rPr>
              <w:t>4、超细多功能雾炮参数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序号</w:t>
            </w:r>
          </w:p>
        </w:tc>
        <w:tc>
          <w:tcPr>
            <w:tcW w:w="2500"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参数项目</w:t>
            </w:r>
          </w:p>
        </w:tc>
        <w:tc>
          <w:tcPr>
            <w:tcW w:w="2440"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指标</w:t>
            </w:r>
          </w:p>
        </w:tc>
        <w:tc>
          <w:tcPr>
            <w:tcW w:w="3244" w:type="dxa"/>
            <w:tcBorders>
              <w:top w:val="double" w:color="auto" w:sz="4" w:space="0"/>
            </w:tcBorders>
            <w:vAlign w:val="center"/>
          </w:tcPr>
          <w:p>
            <w:pPr>
              <w:ind w:left="-78" w:right="-73"/>
              <w:jc w:val="center"/>
              <w:rPr>
                <w:rFonts w:ascii="宋体" w:hAnsi="宋体"/>
                <w:color w:val="000000" w:themeColor="text1"/>
                <w:szCs w:val="21"/>
              </w:rPr>
            </w:pPr>
            <w:r>
              <w:rPr>
                <w:rFonts w:ascii="宋体" w:hAnsi="宋体"/>
                <w:b/>
                <w:color w:val="000000" w:themeColor="text1"/>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707" w:type="dxa"/>
            <w:vAlign w:val="center"/>
          </w:tcPr>
          <w:p>
            <w:pPr>
              <w:ind w:left="-78" w:right="-73"/>
              <w:jc w:val="center"/>
              <w:rPr>
                <w:color w:val="000000" w:themeColor="text1"/>
                <w:szCs w:val="21"/>
              </w:rPr>
            </w:pPr>
            <w:r>
              <w:rPr>
                <w:color w:val="000000" w:themeColor="text1"/>
                <w:szCs w:val="21"/>
              </w:rPr>
              <w:t>1</w:t>
            </w:r>
          </w:p>
        </w:tc>
        <w:tc>
          <w:tcPr>
            <w:tcW w:w="2500" w:type="dxa"/>
            <w:vAlign w:val="center"/>
          </w:tcPr>
          <w:p>
            <w:pPr>
              <w:ind w:left="-78" w:right="-73"/>
              <w:jc w:val="center"/>
              <w:rPr>
                <w:color w:val="000000" w:themeColor="text1"/>
                <w:szCs w:val="21"/>
              </w:rPr>
            </w:pPr>
            <w:r>
              <w:rPr>
                <w:color w:val="000000" w:themeColor="text1"/>
                <w:szCs w:val="21"/>
              </w:rPr>
              <w:t>流量（l/min）</w:t>
            </w:r>
          </w:p>
        </w:tc>
        <w:tc>
          <w:tcPr>
            <w:tcW w:w="2440" w:type="dxa"/>
            <w:vAlign w:val="center"/>
          </w:tcPr>
          <w:p>
            <w:pPr>
              <w:ind w:left="-78" w:right="-73"/>
              <w:jc w:val="center"/>
              <w:rPr>
                <w:color w:val="000000" w:themeColor="text1"/>
                <w:szCs w:val="21"/>
              </w:rPr>
            </w:pPr>
            <w:r>
              <w:rPr>
                <w:rFonts w:hint="eastAsia"/>
                <w:color w:val="000000" w:themeColor="text1"/>
                <w:szCs w:val="21"/>
              </w:rPr>
              <w:t>＜50</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（现场实测耗水量）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07" w:type="dxa"/>
            <w:vAlign w:val="center"/>
          </w:tcPr>
          <w:p>
            <w:pPr>
              <w:ind w:left="-78" w:right="-73"/>
              <w:jc w:val="center"/>
              <w:rPr>
                <w:color w:val="000000" w:themeColor="text1"/>
                <w:szCs w:val="21"/>
              </w:rPr>
            </w:pPr>
            <w:r>
              <w:rPr>
                <w:color w:val="000000" w:themeColor="text1"/>
                <w:szCs w:val="21"/>
              </w:rPr>
              <w:t>2</w:t>
            </w:r>
          </w:p>
        </w:tc>
        <w:tc>
          <w:tcPr>
            <w:tcW w:w="2500" w:type="dxa"/>
            <w:vAlign w:val="center"/>
          </w:tcPr>
          <w:p>
            <w:pPr>
              <w:ind w:left="-78" w:right="-73"/>
              <w:jc w:val="center"/>
              <w:rPr>
                <w:color w:val="000000" w:themeColor="text1"/>
                <w:szCs w:val="21"/>
              </w:rPr>
            </w:pPr>
            <w:r>
              <w:rPr>
                <w:color w:val="000000" w:themeColor="text1"/>
                <w:szCs w:val="21"/>
              </w:rPr>
              <w:t>雾滴颗粒（um)</w:t>
            </w:r>
          </w:p>
        </w:tc>
        <w:tc>
          <w:tcPr>
            <w:tcW w:w="2440" w:type="dxa"/>
            <w:vAlign w:val="center"/>
          </w:tcPr>
          <w:p>
            <w:pPr>
              <w:ind w:left="-78" w:right="-73"/>
              <w:jc w:val="center"/>
              <w:rPr>
                <w:color w:val="000000" w:themeColor="text1"/>
                <w:szCs w:val="21"/>
              </w:rPr>
            </w:pPr>
            <w:r>
              <w:rPr>
                <w:rFonts w:hint="eastAsia"/>
                <w:color w:val="000000" w:themeColor="text1"/>
                <w:szCs w:val="21"/>
              </w:rPr>
              <w:t>≤30</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雾滴与粉尘颗粒大小相近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3</w:t>
            </w:r>
          </w:p>
        </w:tc>
        <w:tc>
          <w:tcPr>
            <w:tcW w:w="2500" w:type="dxa"/>
            <w:vAlign w:val="center"/>
          </w:tcPr>
          <w:p>
            <w:pPr>
              <w:ind w:left="-78" w:right="-73"/>
              <w:jc w:val="center"/>
              <w:rPr>
                <w:color w:val="000000" w:themeColor="text1"/>
                <w:szCs w:val="21"/>
              </w:rPr>
            </w:pPr>
            <w:r>
              <w:rPr>
                <w:rFonts w:hint="eastAsia" w:ascii="宋体"/>
                <w:b/>
                <w:bCs/>
                <w:color w:val="000000" w:themeColor="text1"/>
                <w:szCs w:val="21"/>
              </w:rPr>
              <w:t>★</w:t>
            </w:r>
            <w:r>
              <w:rPr>
                <w:color w:val="000000" w:themeColor="text1"/>
                <w:szCs w:val="21"/>
              </w:rPr>
              <w:t>水平最大射程（m）</w:t>
            </w:r>
          </w:p>
        </w:tc>
        <w:tc>
          <w:tcPr>
            <w:tcW w:w="2440" w:type="dxa"/>
            <w:vAlign w:val="center"/>
          </w:tcPr>
          <w:p>
            <w:pPr>
              <w:ind w:left="-78" w:right="-73"/>
              <w:jc w:val="center"/>
              <w:rPr>
                <w:color w:val="000000" w:themeColor="text1"/>
                <w:szCs w:val="21"/>
              </w:rPr>
            </w:pPr>
            <w:r>
              <w:rPr>
                <w:color w:val="000000" w:themeColor="text1"/>
                <w:szCs w:val="21"/>
              </w:rPr>
              <w:t>≥</w:t>
            </w:r>
            <w:r>
              <w:rPr>
                <w:rFonts w:hint="eastAsia"/>
                <w:color w:val="000000" w:themeColor="text1"/>
                <w:szCs w:val="21"/>
              </w:rPr>
              <w:t>100</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风速＜0.2m/s，</w:t>
            </w:r>
          </w:p>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07" w:type="dxa"/>
            <w:vAlign w:val="center"/>
          </w:tcPr>
          <w:p>
            <w:pPr>
              <w:ind w:left="-78" w:right="-73"/>
              <w:jc w:val="center"/>
              <w:rPr>
                <w:color w:val="000000" w:themeColor="text1"/>
                <w:szCs w:val="21"/>
              </w:rPr>
            </w:pPr>
            <w:r>
              <w:rPr>
                <w:color w:val="000000" w:themeColor="text1"/>
                <w:szCs w:val="21"/>
              </w:rPr>
              <w:t>4</w:t>
            </w:r>
          </w:p>
        </w:tc>
        <w:tc>
          <w:tcPr>
            <w:tcW w:w="2500" w:type="dxa"/>
            <w:vAlign w:val="center"/>
          </w:tcPr>
          <w:p>
            <w:pPr>
              <w:ind w:left="-78" w:right="-73"/>
              <w:jc w:val="center"/>
              <w:rPr>
                <w:color w:val="000000" w:themeColor="text1"/>
                <w:szCs w:val="21"/>
              </w:rPr>
            </w:pPr>
            <w:r>
              <w:rPr>
                <w:color w:val="000000" w:themeColor="text1"/>
                <w:szCs w:val="21"/>
              </w:rPr>
              <w:t>俯仰角度</w:t>
            </w:r>
          </w:p>
        </w:tc>
        <w:tc>
          <w:tcPr>
            <w:tcW w:w="2440" w:type="dxa"/>
            <w:vAlign w:val="center"/>
          </w:tcPr>
          <w:p>
            <w:pPr>
              <w:ind w:left="-78" w:right="-73"/>
              <w:jc w:val="center"/>
              <w:rPr>
                <w:color w:val="000000" w:themeColor="text1"/>
                <w:szCs w:val="21"/>
              </w:rPr>
            </w:pPr>
            <w:r>
              <w:rPr>
                <w:color w:val="000000" w:themeColor="text1"/>
                <w:szCs w:val="21"/>
              </w:rPr>
              <w:t>-10°～40°</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707" w:type="dxa"/>
            <w:vAlign w:val="center"/>
          </w:tcPr>
          <w:p>
            <w:pPr>
              <w:ind w:left="-78" w:right="-73"/>
              <w:jc w:val="center"/>
              <w:rPr>
                <w:color w:val="000000" w:themeColor="text1"/>
                <w:szCs w:val="21"/>
              </w:rPr>
            </w:pPr>
            <w:r>
              <w:rPr>
                <w:color w:val="000000" w:themeColor="text1"/>
                <w:szCs w:val="21"/>
              </w:rPr>
              <w:t>5</w:t>
            </w:r>
          </w:p>
        </w:tc>
        <w:tc>
          <w:tcPr>
            <w:tcW w:w="2500" w:type="dxa"/>
            <w:vAlign w:val="center"/>
          </w:tcPr>
          <w:p>
            <w:pPr>
              <w:ind w:left="-78" w:right="-73"/>
              <w:jc w:val="center"/>
              <w:rPr>
                <w:color w:val="000000" w:themeColor="text1"/>
                <w:szCs w:val="21"/>
              </w:rPr>
            </w:pPr>
            <w:r>
              <w:rPr>
                <w:color w:val="000000" w:themeColor="text1"/>
                <w:szCs w:val="21"/>
              </w:rPr>
              <w:t>水平旋转角度</w:t>
            </w:r>
          </w:p>
        </w:tc>
        <w:tc>
          <w:tcPr>
            <w:tcW w:w="2440" w:type="dxa"/>
            <w:vAlign w:val="center"/>
          </w:tcPr>
          <w:p>
            <w:pPr>
              <w:ind w:left="-78" w:right="-73"/>
              <w:jc w:val="center"/>
              <w:rPr>
                <w:color w:val="000000" w:themeColor="text1"/>
                <w:szCs w:val="21"/>
              </w:rPr>
            </w:pPr>
            <w:r>
              <w:rPr>
                <w:rFonts w:cstheme="minorHAnsi"/>
                <w:color w:val="000000" w:themeColor="text1"/>
                <w:szCs w:val="21"/>
              </w:rPr>
              <w:t>±</w:t>
            </w:r>
            <w:r>
              <w:rPr>
                <w:rFonts w:hint="eastAsia"/>
                <w:color w:val="000000" w:themeColor="text1"/>
                <w:szCs w:val="21"/>
              </w:rPr>
              <w:t>160°</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707" w:type="dxa"/>
            <w:vAlign w:val="center"/>
          </w:tcPr>
          <w:p>
            <w:pPr>
              <w:ind w:left="-78" w:right="-73"/>
              <w:jc w:val="center"/>
              <w:rPr>
                <w:color w:val="000000" w:themeColor="text1"/>
                <w:szCs w:val="21"/>
              </w:rPr>
            </w:pPr>
            <w:r>
              <w:rPr>
                <w:color w:val="000000" w:themeColor="text1"/>
                <w:szCs w:val="21"/>
              </w:rPr>
              <w:t>6</w:t>
            </w:r>
          </w:p>
        </w:tc>
        <w:tc>
          <w:tcPr>
            <w:tcW w:w="2500" w:type="dxa"/>
            <w:vAlign w:val="center"/>
          </w:tcPr>
          <w:p>
            <w:pPr>
              <w:ind w:left="-78" w:right="-73"/>
              <w:jc w:val="center"/>
              <w:rPr>
                <w:color w:val="000000" w:themeColor="text1"/>
                <w:szCs w:val="21"/>
              </w:rPr>
            </w:pPr>
            <w:r>
              <w:rPr>
                <w:color w:val="000000" w:themeColor="text1"/>
                <w:szCs w:val="21"/>
              </w:rPr>
              <w:t>▲总功率（kw)</w:t>
            </w:r>
          </w:p>
        </w:tc>
        <w:tc>
          <w:tcPr>
            <w:tcW w:w="2440" w:type="dxa"/>
            <w:vAlign w:val="center"/>
          </w:tcPr>
          <w:p>
            <w:pPr>
              <w:ind w:left="-78" w:right="-73"/>
              <w:jc w:val="center"/>
              <w:rPr>
                <w:color w:val="000000" w:themeColor="text1"/>
                <w:szCs w:val="21"/>
              </w:rPr>
            </w:pPr>
            <w:r>
              <w:rPr>
                <w:rFonts w:hint="eastAsia"/>
                <w:color w:val="000000" w:themeColor="text1"/>
                <w:szCs w:val="21"/>
              </w:rPr>
              <w:t>＞50</w:t>
            </w:r>
          </w:p>
        </w:tc>
        <w:tc>
          <w:tcPr>
            <w:tcW w:w="3244" w:type="dxa"/>
            <w:vAlign w:val="center"/>
          </w:tcPr>
          <w:p>
            <w:pPr>
              <w:ind w:right="-73"/>
              <w:rPr>
                <w:rFonts w:ascii="宋体" w:hAnsi="宋体"/>
                <w:color w:val="000000" w:themeColor="text1"/>
                <w:szCs w:val="21"/>
              </w:rPr>
            </w:pPr>
            <w:r>
              <w:rPr>
                <w:rFonts w:hint="eastAsia" w:ascii="宋体" w:hAnsi="宋体"/>
                <w:color w:val="000000" w:themeColor="text1"/>
                <w:szCs w:val="21"/>
              </w:rPr>
              <w:t>电机为国内一线品牌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7</w:t>
            </w:r>
          </w:p>
        </w:tc>
        <w:tc>
          <w:tcPr>
            <w:tcW w:w="2500" w:type="dxa"/>
            <w:vAlign w:val="center"/>
          </w:tcPr>
          <w:p>
            <w:pPr>
              <w:ind w:left="-78" w:right="-73"/>
              <w:jc w:val="center"/>
              <w:rPr>
                <w:color w:val="000000" w:themeColor="text1"/>
                <w:szCs w:val="21"/>
              </w:rPr>
            </w:pPr>
            <w:r>
              <w:rPr>
                <w:rFonts w:hint="eastAsia"/>
                <w:color w:val="000000" w:themeColor="text1"/>
                <w:szCs w:val="21"/>
              </w:rPr>
              <w:t>水泵</w:t>
            </w:r>
          </w:p>
        </w:tc>
        <w:tc>
          <w:tcPr>
            <w:tcW w:w="2440" w:type="dxa"/>
            <w:vAlign w:val="center"/>
          </w:tcPr>
          <w:p>
            <w:pPr>
              <w:ind w:left="-78" w:right="-73"/>
              <w:jc w:val="center"/>
              <w:rPr>
                <w:color w:val="000000" w:themeColor="text1"/>
                <w:szCs w:val="21"/>
              </w:rPr>
            </w:pPr>
            <w:r>
              <w:rPr>
                <w:rFonts w:hint="eastAsia"/>
                <w:color w:val="000000" w:themeColor="text1"/>
                <w:szCs w:val="21"/>
              </w:rPr>
              <w:t>离心泵</w:t>
            </w:r>
          </w:p>
        </w:tc>
        <w:tc>
          <w:tcPr>
            <w:tcW w:w="3244" w:type="dxa"/>
            <w:vAlign w:val="center"/>
          </w:tcPr>
          <w:p>
            <w:pPr>
              <w:ind w:right="-73"/>
              <w:rPr>
                <w:rFonts w:ascii="宋体" w:hAnsi="宋体"/>
                <w:color w:val="000000" w:themeColor="text1"/>
                <w:szCs w:val="21"/>
              </w:rPr>
            </w:pPr>
            <w:r>
              <w:rPr>
                <w:rFonts w:hint="eastAsia" w:ascii="宋体" w:hAnsi="宋体"/>
                <w:color w:val="000000" w:themeColor="text1"/>
                <w:szCs w:val="21"/>
              </w:rPr>
              <w:t>为满足出口压力，每台雾炮配两台立式离心泵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07" w:type="dxa"/>
            <w:vAlign w:val="center"/>
          </w:tcPr>
          <w:p>
            <w:pPr>
              <w:ind w:left="-78" w:right="-73"/>
              <w:jc w:val="center"/>
              <w:rPr>
                <w:color w:val="000000" w:themeColor="text1"/>
                <w:szCs w:val="21"/>
              </w:rPr>
            </w:pPr>
            <w:r>
              <w:rPr>
                <w:color w:val="000000" w:themeColor="text1"/>
                <w:szCs w:val="21"/>
              </w:rPr>
              <w:t>8</w:t>
            </w:r>
          </w:p>
        </w:tc>
        <w:tc>
          <w:tcPr>
            <w:tcW w:w="2500" w:type="dxa"/>
            <w:vAlign w:val="center"/>
          </w:tcPr>
          <w:p>
            <w:pPr>
              <w:ind w:left="-78" w:right="-73"/>
              <w:jc w:val="center"/>
              <w:rPr>
                <w:color w:val="000000" w:themeColor="text1"/>
                <w:szCs w:val="21"/>
              </w:rPr>
            </w:pPr>
            <w:r>
              <w:rPr>
                <w:color w:val="000000" w:themeColor="text1"/>
                <w:szCs w:val="21"/>
              </w:rPr>
              <w:t>防护等级</w:t>
            </w:r>
          </w:p>
        </w:tc>
        <w:tc>
          <w:tcPr>
            <w:tcW w:w="2440" w:type="dxa"/>
            <w:vAlign w:val="center"/>
          </w:tcPr>
          <w:p>
            <w:pPr>
              <w:ind w:left="-78" w:right="-73"/>
              <w:jc w:val="center"/>
              <w:rPr>
                <w:color w:val="000000" w:themeColor="text1"/>
                <w:szCs w:val="21"/>
              </w:rPr>
            </w:pPr>
            <w:r>
              <w:rPr>
                <w:color w:val="000000" w:themeColor="text1"/>
                <w:szCs w:val="21"/>
              </w:rPr>
              <w:t>IP55</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9</w:t>
            </w:r>
          </w:p>
        </w:tc>
        <w:tc>
          <w:tcPr>
            <w:tcW w:w="2500" w:type="dxa"/>
            <w:vAlign w:val="center"/>
          </w:tcPr>
          <w:p>
            <w:pPr>
              <w:ind w:left="-78" w:right="-73"/>
              <w:jc w:val="center"/>
              <w:rPr>
                <w:color w:val="000000" w:themeColor="text1"/>
                <w:szCs w:val="21"/>
              </w:rPr>
            </w:pPr>
            <w:r>
              <w:rPr>
                <w:color w:val="000000" w:themeColor="text1"/>
                <w:szCs w:val="21"/>
              </w:rPr>
              <w:t>适用环境温度</w:t>
            </w:r>
          </w:p>
        </w:tc>
        <w:tc>
          <w:tcPr>
            <w:tcW w:w="2440" w:type="dxa"/>
            <w:vAlign w:val="center"/>
          </w:tcPr>
          <w:p>
            <w:pPr>
              <w:ind w:left="-78" w:right="-73"/>
              <w:jc w:val="center"/>
              <w:rPr>
                <w:color w:val="000000" w:themeColor="text1"/>
                <w:szCs w:val="21"/>
              </w:rPr>
            </w:pPr>
            <w:r>
              <w:rPr>
                <w:rFonts w:hint="eastAsia"/>
                <w:color w:val="000000" w:themeColor="text1"/>
                <w:szCs w:val="21"/>
              </w:rPr>
              <w:t>-15</w:t>
            </w:r>
            <w:r>
              <w:rPr>
                <w:color w:val="000000" w:themeColor="text1"/>
                <w:szCs w:val="21"/>
              </w:rPr>
              <w:t>°C-45°C</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伴热保温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10</w:t>
            </w:r>
          </w:p>
        </w:tc>
        <w:tc>
          <w:tcPr>
            <w:tcW w:w="2500" w:type="dxa"/>
            <w:vAlign w:val="center"/>
          </w:tcPr>
          <w:p>
            <w:pPr>
              <w:ind w:left="-78" w:right="-73"/>
              <w:jc w:val="center"/>
              <w:rPr>
                <w:color w:val="000000" w:themeColor="text1"/>
                <w:szCs w:val="21"/>
              </w:rPr>
            </w:pPr>
            <w:r>
              <w:rPr>
                <w:color w:val="000000" w:themeColor="text1"/>
                <w:szCs w:val="21"/>
              </w:rPr>
              <w:t>喷洒抑尘剂</w:t>
            </w:r>
          </w:p>
        </w:tc>
        <w:tc>
          <w:tcPr>
            <w:tcW w:w="2440" w:type="dxa"/>
            <w:vAlign w:val="center"/>
          </w:tcPr>
          <w:p>
            <w:pPr>
              <w:ind w:left="-78" w:right="-73"/>
              <w:jc w:val="center"/>
              <w:rPr>
                <w:color w:val="000000" w:themeColor="text1"/>
                <w:szCs w:val="21"/>
              </w:rPr>
            </w:pPr>
            <w:r>
              <w:rPr>
                <w:color w:val="000000" w:themeColor="text1"/>
                <w:szCs w:val="21"/>
              </w:rPr>
              <w:t>适用</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可直接喷洒抑尘剂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11</w:t>
            </w:r>
          </w:p>
        </w:tc>
        <w:tc>
          <w:tcPr>
            <w:tcW w:w="2500" w:type="dxa"/>
            <w:vAlign w:val="center"/>
          </w:tcPr>
          <w:p>
            <w:pPr>
              <w:ind w:left="-78" w:right="-73"/>
              <w:jc w:val="center"/>
              <w:rPr>
                <w:color w:val="000000" w:themeColor="text1"/>
                <w:szCs w:val="21"/>
              </w:rPr>
            </w:pPr>
            <w:r>
              <w:rPr>
                <w:color w:val="000000" w:themeColor="text1"/>
                <w:szCs w:val="21"/>
              </w:rPr>
              <w:t>▲喷嘴</w:t>
            </w:r>
          </w:p>
        </w:tc>
        <w:tc>
          <w:tcPr>
            <w:tcW w:w="2440" w:type="dxa"/>
            <w:vAlign w:val="center"/>
          </w:tcPr>
          <w:p>
            <w:pPr>
              <w:ind w:left="-78" w:right="-73"/>
              <w:jc w:val="center"/>
              <w:rPr>
                <w:color w:val="000000" w:themeColor="text1"/>
                <w:szCs w:val="21"/>
              </w:rPr>
            </w:pPr>
            <w:r>
              <w:rPr>
                <w:rFonts w:hint="eastAsia"/>
                <w:color w:val="000000" w:themeColor="text1"/>
                <w:szCs w:val="21"/>
              </w:rPr>
              <w:t>＞100只</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雾滴颗粒大小可调节</w:t>
            </w:r>
            <w:r>
              <w:rPr>
                <w:rFonts w:hint="eastAsia" w:ascii="宋体" w:hAnsi="宋体"/>
                <w:color w:val="000000" w:themeColor="text1"/>
                <w:szCs w:val="21"/>
              </w:rPr>
              <w:t>，双喷圈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707" w:type="dxa"/>
            <w:vAlign w:val="center"/>
          </w:tcPr>
          <w:p>
            <w:pPr>
              <w:ind w:left="-78" w:right="-73"/>
              <w:jc w:val="center"/>
              <w:rPr>
                <w:color w:val="000000" w:themeColor="text1"/>
                <w:szCs w:val="21"/>
              </w:rPr>
            </w:pPr>
            <w:r>
              <w:rPr>
                <w:color w:val="000000" w:themeColor="text1"/>
                <w:szCs w:val="21"/>
              </w:rPr>
              <w:t>12</w:t>
            </w:r>
          </w:p>
        </w:tc>
        <w:tc>
          <w:tcPr>
            <w:tcW w:w="2500" w:type="dxa"/>
            <w:vAlign w:val="center"/>
          </w:tcPr>
          <w:p>
            <w:pPr>
              <w:ind w:left="-78" w:right="-73"/>
              <w:jc w:val="center"/>
              <w:rPr>
                <w:color w:val="000000" w:themeColor="text1"/>
                <w:szCs w:val="21"/>
              </w:rPr>
            </w:pPr>
            <w:r>
              <w:rPr>
                <w:color w:val="000000" w:themeColor="text1"/>
                <w:szCs w:val="21"/>
              </w:rPr>
              <w:t>喷圈</w:t>
            </w:r>
          </w:p>
        </w:tc>
        <w:tc>
          <w:tcPr>
            <w:tcW w:w="2440" w:type="dxa"/>
            <w:vAlign w:val="center"/>
          </w:tcPr>
          <w:p>
            <w:pPr>
              <w:ind w:left="-78" w:right="-73"/>
              <w:jc w:val="center"/>
              <w:rPr>
                <w:color w:val="000000" w:themeColor="text1"/>
                <w:szCs w:val="21"/>
              </w:rPr>
            </w:pPr>
            <w:r>
              <w:rPr>
                <w:color w:val="000000" w:themeColor="text1"/>
                <w:szCs w:val="21"/>
              </w:rPr>
              <w:t>双管环形喷圈</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突显在喷筒前面，不隐埋至喷筒里，便于清洁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707" w:type="dxa"/>
            <w:vAlign w:val="center"/>
          </w:tcPr>
          <w:p>
            <w:pPr>
              <w:ind w:left="-78" w:right="-73"/>
              <w:jc w:val="center"/>
              <w:rPr>
                <w:color w:val="000000" w:themeColor="text1"/>
                <w:szCs w:val="21"/>
              </w:rPr>
            </w:pPr>
            <w:r>
              <w:rPr>
                <w:color w:val="000000" w:themeColor="text1"/>
                <w:szCs w:val="21"/>
              </w:rPr>
              <w:t>13</w:t>
            </w:r>
          </w:p>
        </w:tc>
        <w:tc>
          <w:tcPr>
            <w:tcW w:w="2500" w:type="dxa"/>
            <w:vAlign w:val="center"/>
          </w:tcPr>
          <w:p>
            <w:pPr>
              <w:ind w:left="-78" w:right="-73"/>
              <w:jc w:val="center"/>
              <w:rPr>
                <w:color w:val="000000" w:themeColor="text1"/>
                <w:szCs w:val="21"/>
              </w:rPr>
            </w:pPr>
            <w:r>
              <w:rPr>
                <w:color w:val="000000" w:themeColor="text1"/>
                <w:szCs w:val="21"/>
              </w:rPr>
              <w:t>控制方式</w:t>
            </w:r>
          </w:p>
        </w:tc>
        <w:tc>
          <w:tcPr>
            <w:tcW w:w="2440" w:type="dxa"/>
            <w:vAlign w:val="center"/>
          </w:tcPr>
          <w:p>
            <w:pPr>
              <w:ind w:left="-78" w:right="-73"/>
              <w:jc w:val="center"/>
              <w:rPr>
                <w:color w:val="000000" w:themeColor="text1"/>
                <w:szCs w:val="21"/>
              </w:rPr>
            </w:pPr>
            <w:r>
              <w:rPr>
                <w:rFonts w:hint="eastAsia" w:ascii="宋体" w:hAnsi="宋体" w:eastAsia="宋体" w:cs="宋体"/>
                <w:color w:val="000000" w:themeColor="text1"/>
                <w:szCs w:val="21"/>
              </w:rPr>
              <w:t>手动/遥控/自动</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可遥控控制雾炮旋转及俯仰角度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14</w:t>
            </w:r>
          </w:p>
        </w:tc>
        <w:tc>
          <w:tcPr>
            <w:tcW w:w="2500" w:type="dxa"/>
            <w:vAlign w:val="center"/>
          </w:tcPr>
          <w:p>
            <w:pPr>
              <w:ind w:left="-78" w:right="-73"/>
              <w:jc w:val="center"/>
              <w:rPr>
                <w:color w:val="000000" w:themeColor="text1"/>
                <w:szCs w:val="21"/>
              </w:rPr>
            </w:pPr>
            <w:r>
              <w:rPr>
                <w:color w:val="000000" w:themeColor="text1"/>
                <w:szCs w:val="21"/>
              </w:rPr>
              <w:t>电控系统</w:t>
            </w:r>
          </w:p>
        </w:tc>
        <w:tc>
          <w:tcPr>
            <w:tcW w:w="2440" w:type="dxa"/>
            <w:vAlign w:val="center"/>
          </w:tcPr>
          <w:p>
            <w:pPr>
              <w:ind w:left="-78" w:right="-73"/>
              <w:jc w:val="center"/>
              <w:rPr>
                <w:color w:val="000000" w:themeColor="text1"/>
                <w:szCs w:val="21"/>
              </w:rPr>
            </w:pPr>
            <w:r>
              <w:rPr>
                <w:color w:val="000000" w:themeColor="text1"/>
                <w:szCs w:val="21"/>
              </w:rPr>
              <w:t>配套</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放置雾炮下端柜子，不外露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07" w:type="dxa"/>
            <w:vAlign w:val="center"/>
          </w:tcPr>
          <w:p>
            <w:pPr>
              <w:ind w:left="-78" w:right="-73"/>
              <w:jc w:val="center"/>
              <w:rPr>
                <w:color w:val="000000" w:themeColor="text1"/>
                <w:szCs w:val="21"/>
              </w:rPr>
            </w:pPr>
            <w:r>
              <w:rPr>
                <w:color w:val="000000" w:themeColor="text1"/>
                <w:szCs w:val="21"/>
              </w:rPr>
              <w:t>15</w:t>
            </w:r>
          </w:p>
        </w:tc>
        <w:tc>
          <w:tcPr>
            <w:tcW w:w="2500" w:type="dxa"/>
            <w:vAlign w:val="center"/>
          </w:tcPr>
          <w:p>
            <w:pPr>
              <w:ind w:left="-78" w:right="-73"/>
              <w:jc w:val="center"/>
              <w:rPr>
                <w:color w:val="000000" w:themeColor="text1"/>
                <w:szCs w:val="21"/>
              </w:rPr>
            </w:pPr>
            <w:r>
              <w:rPr>
                <w:rFonts w:hint="eastAsia"/>
                <w:color w:val="000000" w:themeColor="text1"/>
                <w:szCs w:val="21"/>
              </w:rPr>
              <w:t>风叶材质</w:t>
            </w:r>
          </w:p>
        </w:tc>
        <w:tc>
          <w:tcPr>
            <w:tcW w:w="2440" w:type="dxa"/>
            <w:vAlign w:val="center"/>
          </w:tcPr>
          <w:p>
            <w:pPr>
              <w:ind w:left="-78" w:right="-73"/>
              <w:jc w:val="center"/>
              <w:rPr>
                <w:color w:val="000000" w:themeColor="text1"/>
                <w:szCs w:val="21"/>
              </w:rPr>
            </w:pPr>
            <w:r>
              <w:rPr>
                <w:rFonts w:hint="eastAsia"/>
                <w:color w:val="000000" w:themeColor="text1"/>
                <w:szCs w:val="21"/>
              </w:rPr>
              <w:t>双风叶，铝合金叶片</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承受更大转速及风压、安全可靠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707" w:type="dxa"/>
            <w:vAlign w:val="center"/>
          </w:tcPr>
          <w:p>
            <w:pPr>
              <w:ind w:left="-78" w:right="-73"/>
              <w:jc w:val="center"/>
              <w:rPr>
                <w:color w:val="000000" w:themeColor="text1"/>
                <w:szCs w:val="21"/>
              </w:rPr>
            </w:pPr>
            <w:r>
              <w:rPr>
                <w:color w:val="000000" w:themeColor="text1"/>
                <w:szCs w:val="21"/>
              </w:rPr>
              <w:t>16</w:t>
            </w:r>
          </w:p>
        </w:tc>
        <w:tc>
          <w:tcPr>
            <w:tcW w:w="2500" w:type="dxa"/>
            <w:vAlign w:val="center"/>
          </w:tcPr>
          <w:p>
            <w:pPr>
              <w:ind w:left="-78" w:right="-73"/>
              <w:jc w:val="center"/>
              <w:rPr>
                <w:color w:val="000000" w:themeColor="text1"/>
                <w:szCs w:val="21"/>
              </w:rPr>
            </w:pPr>
            <w:r>
              <w:rPr>
                <w:rFonts w:hint="eastAsia"/>
                <w:color w:val="000000" w:themeColor="text1"/>
                <w:szCs w:val="21"/>
              </w:rPr>
              <w:t>雾炮材质</w:t>
            </w:r>
          </w:p>
        </w:tc>
        <w:tc>
          <w:tcPr>
            <w:tcW w:w="2440" w:type="dxa"/>
            <w:vAlign w:val="center"/>
          </w:tcPr>
          <w:p>
            <w:pPr>
              <w:ind w:left="-78" w:right="-73"/>
              <w:jc w:val="center"/>
              <w:rPr>
                <w:color w:val="000000" w:themeColor="text1"/>
                <w:szCs w:val="21"/>
              </w:rPr>
            </w:pPr>
            <w:r>
              <w:rPr>
                <w:rFonts w:hint="eastAsia"/>
                <w:color w:val="000000" w:themeColor="text1"/>
                <w:szCs w:val="21"/>
              </w:rPr>
              <w:t>碳钢</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表面抛丸，提高防锈漆附着力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color w:val="000000" w:themeColor="text1"/>
                <w:szCs w:val="21"/>
              </w:rPr>
              <w:t>17</w:t>
            </w:r>
          </w:p>
        </w:tc>
        <w:tc>
          <w:tcPr>
            <w:tcW w:w="2500" w:type="dxa"/>
            <w:vAlign w:val="center"/>
          </w:tcPr>
          <w:p>
            <w:pPr>
              <w:ind w:left="-78" w:right="-73"/>
              <w:jc w:val="center"/>
              <w:rPr>
                <w:color w:val="000000" w:themeColor="text1"/>
                <w:szCs w:val="21"/>
                <w:highlight w:val="yellow"/>
              </w:rPr>
            </w:pPr>
            <w:r>
              <w:rPr>
                <w:rFonts w:ascii="Arial" w:hAnsi="Arial" w:cs="Arial"/>
                <w:color w:val="000000" w:themeColor="text1"/>
                <w:szCs w:val="21"/>
                <w:highlight w:val="yellow"/>
              </w:rPr>
              <w:t>▲</w:t>
            </w:r>
            <w:r>
              <w:rPr>
                <w:rFonts w:hint="eastAsia"/>
                <w:color w:val="000000" w:themeColor="text1"/>
                <w:szCs w:val="21"/>
                <w:highlight w:val="yellow"/>
              </w:rPr>
              <w:t>雾炮油漆、颜色</w:t>
            </w:r>
          </w:p>
        </w:tc>
        <w:tc>
          <w:tcPr>
            <w:tcW w:w="2440" w:type="dxa"/>
            <w:vAlign w:val="center"/>
          </w:tcPr>
          <w:p>
            <w:pPr>
              <w:ind w:left="-78" w:right="-73"/>
              <w:jc w:val="center"/>
              <w:rPr>
                <w:color w:val="000000" w:themeColor="text1"/>
                <w:szCs w:val="21"/>
                <w:highlight w:val="yellow"/>
              </w:rPr>
            </w:pPr>
            <w:r>
              <w:rPr>
                <w:rFonts w:hint="eastAsia"/>
                <w:color w:val="000000" w:themeColor="text1"/>
                <w:szCs w:val="21"/>
              </w:rPr>
              <w:t>草绿</w:t>
            </w:r>
            <w:r>
              <w:rPr>
                <w:rFonts w:hint="eastAsia" w:ascii="宋体" w:hAnsi="宋体"/>
                <w:color w:val="000000" w:themeColor="text1"/>
                <w:szCs w:val="21"/>
              </w:rPr>
              <w:t>（表面喷塑）</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707" w:type="dxa"/>
            <w:vAlign w:val="center"/>
          </w:tcPr>
          <w:p>
            <w:pPr>
              <w:ind w:left="-78" w:right="-73"/>
              <w:jc w:val="center"/>
              <w:rPr>
                <w:color w:val="000000" w:themeColor="text1"/>
                <w:szCs w:val="21"/>
              </w:rPr>
            </w:pPr>
            <w:r>
              <w:rPr>
                <w:color w:val="000000" w:themeColor="text1"/>
                <w:szCs w:val="21"/>
              </w:rPr>
              <w:t>18</w:t>
            </w:r>
          </w:p>
        </w:tc>
        <w:tc>
          <w:tcPr>
            <w:tcW w:w="2500" w:type="dxa"/>
            <w:vAlign w:val="center"/>
          </w:tcPr>
          <w:p>
            <w:pPr>
              <w:ind w:left="-78" w:right="-73"/>
              <w:jc w:val="center"/>
              <w:rPr>
                <w:color w:val="000000" w:themeColor="text1"/>
                <w:szCs w:val="21"/>
              </w:rPr>
            </w:pPr>
            <w:r>
              <w:rPr>
                <w:color w:val="000000" w:themeColor="text1"/>
                <w:szCs w:val="21"/>
              </w:rPr>
              <w:t>▲</w:t>
            </w:r>
            <w:r>
              <w:rPr>
                <w:rFonts w:hint="eastAsia"/>
                <w:color w:val="000000" w:themeColor="text1"/>
                <w:szCs w:val="21"/>
              </w:rPr>
              <w:t>炮筒组成</w:t>
            </w:r>
          </w:p>
        </w:tc>
        <w:tc>
          <w:tcPr>
            <w:tcW w:w="2440" w:type="dxa"/>
            <w:vAlign w:val="center"/>
          </w:tcPr>
          <w:p>
            <w:pPr>
              <w:ind w:left="-78" w:right="-73"/>
              <w:jc w:val="center"/>
              <w:rPr>
                <w:color w:val="000000" w:themeColor="text1"/>
                <w:szCs w:val="21"/>
              </w:rPr>
            </w:pPr>
            <w:r>
              <w:rPr>
                <w:rFonts w:hint="eastAsia"/>
                <w:color w:val="000000" w:themeColor="text1"/>
                <w:szCs w:val="21"/>
              </w:rPr>
              <w:t>由三节组成</w:t>
            </w:r>
          </w:p>
        </w:tc>
        <w:tc>
          <w:tcPr>
            <w:tcW w:w="3244" w:type="dxa"/>
            <w:vAlign w:val="center"/>
          </w:tcPr>
          <w:p>
            <w:pPr>
              <w:ind w:left="-78" w:right="-73"/>
              <w:rPr>
                <w:rFonts w:ascii="宋体" w:hAnsi="宋体"/>
                <w:color w:val="000000" w:themeColor="text1"/>
                <w:szCs w:val="21"/>
              </w:rPr>
            </w:pPr>
            <w:r>
              <w:rPr>
                <w:rFonts w:hint="eastAsia" w:ascii="宋体" w:hAnsi="宋体"/>
                <w:color w:val="000000" w:themeColor="text1"/>
                <w:szCs w:val="21"/>
              </w:rPr>
              <w:t>前风筒、中间降噪部分、喇叭口，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19</w:t>
            </w:r>
          </w:p>
        </w:tc>
        <w:tc>
          <w:tcPr>
            <w:tcW w:w="2500" w:type="dxa"/>
            <w:vAlign w:val="center"/>
          </w:tcPr>
          <w:p>
            <w:pPr>
              <w:ind w:left="-78" w:right="-73"/>
              <w:jc w:val="center"/>
              <w:rPr>
                <w:color w:val="000000" w:themeColor="text1"/>
                <w:szCs w:val="21"/>
              </w:rPr>
            </w:pPr>
            <w:r>
              <w:rPr>
                <w:color w:val="000000" w:themeColor="text1"/>
                <w:szCs w:val="21"/>
              </w:rPr>
              <w:t>遥控器</w:t>
            </w:r>
          </w:p>
        </w:tc>
        <w:tc>
          <w:tcPr>
            <w:tcW w:w="2440" w:type="dxa"/>
            <w:vAlign w:val="center"/>
          </w:tcPr>
          <w:p>
            <w:pPr>
              <w:ind w:left="-78" w:right="-73"/>
              <w:jc w:val="center"/>
              <w:rPr>
                <w:color w:val="000000" w:themeColor="text1"/>
                <w:szCs w:val="21"/>
              </w:rPr>
            </w:pPr>
            <w:r>
              <w:rPr>
                <w:color w:val="000000" w:themeColor="text1"/>
                <w:szCs w:val="21"/>
              </w:rPr>
              <w:t>手持8键</w:t>
            </w:r>
          </w:p>
        </w:tc>
        <w:tc>
          <w:tcPr>
            <w:tcW w:w="3244" w:type="dxa"/>
            <w:vAlign w:val="center"/>
          </w:tcPr>
          <w:p>
            <w:pPr>
              <w:ind w:left="-78" w:right="-73"/>
              <w:rPr>
                <w:rFonts w:ascii="宋体" w:hAnsi="宋体"/>
                <w:color w:val="000000" w:themeColor="text1"/>
                <w:szCs w:val="21"/>
              </w:rPr>
            </w:pPr>
            <w:r>
              <w:rPr>
                <w:rFonts w:ascii="宋体" w:hAnsi="宋体"/>
                <w:color w:val="000000" w:themeColor="text1"/>
                <w:szCs w:val="21"/>
              </w:rPr>
              <w:t>无线控制100米内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20</w:t>
            </w:r>
          </w:p>
        </w:tc>
        <w:tc>
          <w:tcPr>
            <w:tcW w:w="2500" w:type="dxa"/>
            <w:vAlign w:val="center"/>
          </w:tcPr>
          <w:p>
            <w:pPr>
              <w:ind w:left="-78" w:right="-73"/>
              <w:jc w:val="center"/>
              <w:rPr>
                <w:color w:val="000000" w:themeColor="text1"/>
                <w:szCs w:val="21"/>
              </w:rPr>
            </w:pPr>
            <w:r>
              <w:rPr>
                <w:color w:val="000000" w:themeColor="text1"/>
                <w:szCs w:val="21"/>
              </w:rPr>
              <w:t>▲静水压试验</w:t>
            </w:r>
          </w:p>
        </w:tc>
        <w:tc>
          <w:tcPr>
            <w:tcW w:w="2440" w:type="dxa"/>
            <w:vAlign w:val="center"/>
          </w:tcPr>
          <w:p>
            <w:pPr>
              <w:ind w:left="-78" w:right="-73"/>
              <w:jc w:val="left"/>
              <w:rPr>
                <w:color w:val="000000" w:themeColor="text1"/>
                <w:szCs w:val="21"/>
              </w:rPr>
            </w:pPr>
            <w:r>
              <w:rPr>
                <w:color w:val="000000" w:themeColor="text1"/>
                <w:szCs w:val="21"/>
              </w:rPr>
              <w:t>在液路系统中的所有承压部件、管路和接头，当压力增加工作压力的1.5倍时不应有渗漏</w:t>
            </w:r>
          </w:p>
        </w:tc>
        <w:tc>
          <w:tcPr>
            <w:tcW w:w="3244" w:type="dxa"/>
            <w:vAlign w:val="center"/>
          </w:tcPr>
          <w:p>
            <w:pPr>
              <w:ind w:left="-78" w:right="-73"/>
              <w:rPr>
                <w:rFonts w:ascii="宋体" w:hAnsi="宋体"/>
                <w:color w:val="000000" w:themeColor="text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707" w:type="dxa"/>
            <w:vAlign w:val="center"/>
          </w:tcPr>
          <w:p>
            <w:pPr>
              <w:ind w:left="-78" w:right="-73"/>
              <w:jc w:val="center"/>
              <w:rPr>
                <w:color w:val="000000" w:themeColor="text1"/>
                <w:szCs w:val="21"/>
              </w:rPr>
            </w:pPr>
            <w:r>
              <w:rPr>
                <w:rFonts w:hint="eastAsia"/>
                <w:color w:val="000000" w:themeColor="text1"/>
                <w:szCs w:val="21"/>
              </w:rPr>
              <w:t>21</w:t>
            </w:r>
          </w:p>
        </w:tc>
        <w:tc>
          <w:tcPr>
            <w:tcW w:w="2500" w:type="dxa"/>
            <w:vAlign w:val="center"/>
          </w:tcPr>
          <w:p>
            <w:pPr>
              <w:ind w:left="-78" w:right="-73"/>
              <w:jc w:val="center"/>
              <w:rPr>
                <w:color w:val="000000" w:themeColor="text1"/>
                <w:szCs w:val="21"/>
              </w:rPr>
            </w:pPr>
            <w:r>
              <w:rPr>
                <w:rFonts w:hint="eastAsia"/>
                <w:color w:val="000000" w:themeColor="text1"/>
                <w:szCs w:val="21"/>
              </w:rPr>
              <w:t>电机启动方式</w:t>
            </w:r>
          </w:p>
        </w:tc>
        <w:tc>
          <w:tcPr>
            <w:tcW w:w="2440" w:type="dxa"/>
            <w:vAlign w:val="center"/>
          </w:tcPr>
          <w:p>
            <w:pPr>
              <w:ind w:left="-78" w:right="-73"/>
              <w:jc w:val="left"/>
              <w:rPr>
                <w:color w:val="000000" w:themeColor="text1"/>
                <w:szCs w:val="21"/>
              </w:rPr>
            </w:pPr>
            <w:r>
              <w:rPr>
                <w:rFonts w:hint="eastAsia"/>
                <w:color w:val="000000" w:themeColor="text1"/>
                <w:szCs w:val="21"/>
              </w:rPr>
              <w:t>软启动</w:t>
            </w:r>
          </w:p>
        </w:tc>
        <w:tc>
          <w:tcPr>
            <w:tcW w:w="3244" w:type="dxa"/>
            <w:vAlign w:val="center"/>
          </w:tcPr>
          <w:p>
            <w:pPr>
              <w:ind w:left="-78" w:right="-73"/>
              <w:rPr>
                <w:rFonts w:ascii="宋体" w:hAnsi="宋体"/>
                <w:color w:val="000000" w:themeColor="text1"/>
                <w:szCs w:val="21"/>
              </w:rPr>
            </w:pPr>
          </w:p>
        </w:tc>
      </w:tr>
    </w:tbl>
    <w:p>
      <w:pPr>
        <w:pStyle w:val="3"/>
        <w:spacing w:line="360" w:lineRule="auto"/>
        <w:rPr>
          <w:rFonts w:ascii="宋体" w:hAnsi="宋体" w:eastAsia="宋体" w:cs="Times New Roman"/>
          <w:color w:val="000000" w:themeColor="text1"/>
          <w:sz w:val="24"/>
          <w:szCs w:val="24"/>
        </w:rPr>
      </w:pPr>
      <w:bookmarkStart w:id="27" w:name="_Toc375492437"/>
      <w:bookmarkStart w:id="28" w:name="_Toc454611705"/>
      <w:bookmarkStart w:id="29" w:name="_Toc375475920"/>
      <w:bookmarkStart w:id="30" w:name="_Toc371353776"/>
      <w:bookmarkStart w:id="31" w:name="_Toc375490151"/>
      <w:bookmarkStart w:id="32" w:name="_Toc375489061"/>
      <w:bookmarkStart w:id="33" w:name="_Toc378091636"/>
      <w:bookmarkStart w:id="34" w:name="_Toc375491708"/>
      <w:bookmarkStart w:id="35" w:name="_Toc375484443"/>
      <w:bookmarkStart w:id="36" w:name="_Toc375488697"/>
      <w:bookmarkStart w:id="37" w:name="_Toc375490923"/>
      <w:bookmarkStart w:id="38" w:name="_Toc221933065"/>
      <w:bookmarkStart w:id="39" w:name="_Toc371153314"/>
      <w:bookmarkStart w:id="40" w:name="_Toc375483436"/>
      <w:bookmarkStart w:id="41" w:name="_Toc375478007"/>
      <w:r>
        <w:rPr>
          <w:rFonts w:hint="eastAsia" w:ascii="宋体" w:hAnsi="宋体" w:eastAsia="宋体" w:cs="Times New Roman"/>
          <w:color w:val="000000" w:themeColor="text1"/>
          <w:sz w:val="24"/>
          <w:szCs w:val="24"/>
        </w:rPr>
        <w:t>四、设备清单</w:t>
      </w:r>
    </w:p>
    <w:p>
      <w:pPr>
        <w:pStyle w:val="3"/>
        <w:spacing w:line="360" w:lineRule="auto"/>
        <w:rPr>
          <w:rFonts w:ascii="宋体" w:hAnsi="宋体" w:eastAsia="宋体" w:cs="Times New Roman"/>
          <w:color w:val="000000" w:themeColor="text1"/>
          <w:sz w:val="24"/>
          <w:szCs w:val="24"/>
        </w:rPr>
      </w:pPr>
      <w:r>
        <w:rPr>
          <w:rFonts w:hint="eastAsia" w:ascii="宋体" w:hAnsi="宋体" w:eastAsia="宋体" w:cs="Times New Roman"/>
          <w:color w:val="000000" w:themeColor="text1"/>
          <w:sz w:val="24"/>
          <w:szCs w:val="24"/>
        </w:rPr>
        <w:t>系统设备清单（包括单不限于下列清单）</w:t>
      </w:r>
    </w:p>
    <w:tbl>
      <w:tblPr>
        <w:tblStyle w:val="14"/>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2118"/>
        <w:gridCol w:w="2551"/>
        <w:gridCol w:w="709"/>
        <w:gridCol w:w="992"/>
        <w:gridCol w:w="25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序号</w:t>
            </w:r>
          </w:p>
        </w:tc>
        <w:tc>
          <w:tcPr>
            <w:tcW w:w="211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名    称</w:t>
            </w:r>
          </w:p>
        </w:tc>
        <w:tc>
          <w:tcPr>
            <w:tcW w:w="2551"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规  格</w:t>
            </w:r>
          </w:p>
        </w:tc>
        <w:tc>
          <w:tcPr>
            <w:tcW w:w="709"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单位</w:t>
            </w:r>
          </w:p>
        </w:tc>
        <w:tc>
          <w:tcPr>
            <w:tcW w:w="992"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数量</w:t>
            </w:r>
          </w:p>
        </w:tc>
        <w:tc>
          <w:tcPr>
            <w:tcW w:w="259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1</w:t>
            </w:r>
          </w:p>
        </w:tc>
        <w:tc>
          <w:tcPr>
            <w:tcW w:w="211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防爆超细多功能雾炮</w:t>
            </w:r>
          </w:p>
        </w:tc>
        <w:tc>
          <w:tcPr>
            <w:tcW w:w="2551"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见‘4、超细多功能雾炮参数’</w:t>
            </w:r>
          </w:p>
        </w:tc>
        <w:tc>
          <w:tcPr>
            <w:tcW w:w="709"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台</w:t>
            </w:r>
          </w:p>
        </w:tc>
        <w:tc>
          <w:tcPr>
            <w:tcW w:w="992"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4</w:t>
            </w:r>
          </w:p>
        </w:tc>
        <w:tc>
          <w:tcPr>
            <w:tcW w:w="259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高架平台设置，用于煤区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680"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2</w:t>
            </w:r>
          </w:p>
        </w:tc>
        <w:tc>
          <w:tcPr>
            <w:tcW w:w="211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超细多功能雾炮</w:t>
            </w:r>
          </w:p>
        </w:tc>
        <w:tc>
          <w:tcPr>
            <w:tcW w:w="2551"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见‘4、超细多功能雾炮参数’</w:t>
            </w:r>
          </w:p>
        </w:tc>
        <w:tc>
          <w:tcPr>
            <w:tcW w:w="709"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台</w:t>
            </w:r>
          </w:p>
        </w:tc>
        <w:tc>
          <w:tcPr>
            <w:tcW w:w="992"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10</w:t>
            </w:r>
          </w:p>
        </w:tc>
        <w:tc>
          <w:tcPr>
            <w:tcW w:w="2598" w:type="dxa"/>
            <w:noWrap/>
            <w:vAlign w:val="center"/>
          </w:tcPr>
          <w:p>
            <w:pPr>
              <w:spacing w:line="360" w:lineRule="auto"/>
              <w:ind w:right="26"/>
              <w:rPr>
                <w:rFonts w:ascii="宋体" w:hAnsi="宋体" w:eastAsia="宋体" w:cs="Times New Roman"/>
                <w:bCs/>
                <w:color w:val="000000" w:themeColor="text1"/>
                <w:sz w:val="18"/>
                <w:szCs w:val="18"/>
              </w:rPr>
            </w:pPr>
            <w:r>
              <w:rPr>
                <w:rFonts w:hint="eastAsia" w:ascii="宋体" w:hAnsi="宋体" w:eastAsia="宋体" w:cs="Times New Roman"/>
                <w:bCs/>
                <w:color w:val="000000" w:themeColor="text1"/>
                <w:sz w:val="18"/>
                <w:szCs w:val="18"/>
              </w:rPr>
              <w:t>高架平台设置，用于非煤区</w:t>
            </w:r>
          </w:p>
        </w:tc>
      </w:tr>
    </w:tbl>
    <w:p>
      <w:pPr>
        <w:spacing w:line="360" w:lineRule="auto"/>
        <w:ind w:firstLine="561"/>
        <w:rPr>
          <w:rFonts w:ascii="宋体" w:hAnsi="宋体" w:eastAsia="宋体" w:cs="Times New Roman"/>
          <w:color w:val="000000" w:themeColor="text1"/>
          <w:sz w:val="24"/>
        </w:rPr>
      </w:pP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hd w:val="clear" w:color="auto" w:fill="FFFFFF" w:themeFill="background1"/>
        <w:tabs>
          <w:tab w:val="left" w:pos="840"/>
        </w:tabs>
        <w:adjustRightInd w:val="0"/>
        <w:snapToGrid w:val="0"/>
        <w:spacing w:line="40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本招标文件未涉及但又属于本系统正常运行必备的部分，或投标方考虑不周而招标方需要增加的满足设备系统工艺运行要求的所需设备、阀门、管道、仪表、电气、控制、零配件、附件、安装材料等，或在供货范围、所属系统范围内安装调试运行需增补的、必不可少的设备和零部件等由投标方无条件、无偿补齐，且不发生任何费用。</w:t>
      </w: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kern w:val="0"/>
          <w:sz w:val="24"/>
        </w:rPr>
      </w:pPr>
      <w:r>
        <w:rPr>
          <w:rFonts w:hint="eastAsia" w:ascii="Times New Roman" w:hAnsi="Times New Roman" w:cs="Times New Roman"/>
          <w:b/>
          <w:color w:val="000000" w:themeColor="text1"/>
          <w:sz w:val="24"/>
        </w:rPr>
        <w:t>四、</w:t>
      </w:r>
      <w:r>
        <w:rPr>
          <w:rFonts w:hint="eastAsia" w:ascii="Times New Roman" w:hAnsi="Times New Roman" w:cs="Times New Roman"/>
          <w:b/>
          <w:color w:val="000000" w:themeColor="text1"/>
          <w:kern w:val="0"/>
          <w:sz w:val="24"/>
        </w:rPr>
        <w:t>技术资料要求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 投标方需提供如下资料，包括但不限于此：</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a).防爆型消防水炮需提供技术规格书要求的相关认证及合格证。</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rPr>
      </w:pPr>
      <w:r>
        <w:rPr>
          <w:rFonts w:hint="eastAsia" w:ascii="Times New Roman" w:hAnsi="Times New Roman" w:cs="Times New Roman"/>
          <w:color w:val="000000" w:themeColor="text1"/>
          <w:sz w:val="24"/>
        </w:rPr>
        <w:t>b).所有设备产品说明书；质量合格证；调试、维护说明书；安装要求等。</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 投标方随机应提供施工、调试、试运、机组性能试验和运行维护所需的技术资料。包括但不限于以下项目：</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安装、调试和试运、运行、维护、检修所需的详尽图纸和技术文件，包括设备总图、部件总图、分图和必要的零件图、计算资料以及各有关部件的配合尺寸、公差等要求。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 xml:space="preserve">    设备的安装、运行、维护、检修说明书，包括设备结构特点、安装检修程序和工艺要求、启动调试要领、运行操作规定和控制数据、定期检验和维护说明等。</w:t>
      </w: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sz w:val="24"/>
        </w:rPr>
      </w:pPr>
      <w:bookmarkStart w:id="42" w:name="_Toc455585948"/>
      <w:bookmarkStart w:id="43" w:name="_Toc450922643"/>
      <w:bookmarkStart w:id="44" w:name="_Toc534486225"/>
      <w:bookmarkStart w:id="45" w:name="_Toc462472996"/>
      <w:bookmarkStart w:id="46" w:name="_Toc462154246"/>
      <w:bookmarkStart w:id="47" w:name="_Toc484177693"/>
      <w:bookmarkStart w:id="48" w:name="_Toc388000753"/>
      <w:bookmarkStart w:id="49" w:name="_Toc462154162"/>
      <w:bookmarkStart w:id="50" w:name="_Toc436913128"/>
      <w:bookmarkStart w:id="51" w:name="_Toc396488846"/>
      <w:r>
        <w:rPr>
          <w:rFonts w:hint="eastAsia" w:ascii="Times New Roman" w:hAnsi="Times New Roman" w:cs="Times New Roman"/>
          <w:b/>
          <w:color w:val="000000" w:themeColor="text1"/>
          <w:sz w:val="24"/>
        </w:rPr>
        <w:t xml:space="preserve">五、 </w:t>
      </w:r>
      <w:r>
        <w:rPr>
          <w:rFonts w:ascii="Times New Roman" w:hAnsi="Times New Roman" w:cs="Times New Roman"/>
          <w:b/>
          <w:color w:val="000000" w:themeColor="text1"/>
          <w:sz w:val="24"/>
        </w:rPr>
        <w:t>调试及</w:t>
      </w:r>
      <w:bookmarkEnd w:id="42"/>
      <w:bookmarkEnd w:id="43"/>
      <w:bookmarkEnd w:id="44"/>
      <w:bookmarkEnd w:id="45"/>
      <w:bookmarkEnd w:id="46"/>
      <w:bookmarkEnd w:id="47"/>
      <w:bookmarkEnd w:id="48"/>
      <w:bookmarkEnd w:id="49"/>
      <w:bookmarkEnd w:id="50"/>
      <w:bookmarkEnd w:id="51"/>
      <w:r>
        <w:rPr>
          <w:rFonts w:ascii="Times New Roman" w:hAnsi="Times New Roman" w:cs="Times New Roman"/>
          <w:b/>
          <w:color w:val="000000" w:themeColor="text1"/>
          <w:sz w:val="24"/>
        </w:rPr>
        <w:t>培训要求</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宋体" w:hAnsi="宋体"/>
          <w:color w:val="000000" w:themeColor="text1"/>
          <w:sz w:val="24"/>
        </w:rPr>
        <w:t>投标方负责</w:t>
      </w:r>
      <w:r>
        <w:rPr>
          <w:rFonts w:ascii="Times New Roman" w:hAnsi="Times New Roman" w:cs="Times New Roman"/>
          <w:color w:val="000000" w:themeColor="text1"/>
          <w:sz w:val="24"/>
        </w:rPr>
        <w:t>设备</w:t>
      </w:r>
      <w:r>
        <w:rPr>
          <w:rFonts w:hint="eastAsia" w:ascii="Times New Roman" w:hAnsi="Times New Roman" w:cs="Times New Roman"/>
          <w:color w:val="000000" w:themeColor="text1"/>
          <w:sz w:val="24"/>
        </w:rPr>
        <w:t>及材料</w:t>
      </w:r>
      <w:r>
        <w:rPr>
          <w:rFonts w:ascii="Times New Roman" w:hAnsi="Times New Roman" w:cs="Times New Roman"/>
          <w:color w:val="000000" w:themeColor="text1"/>
          <w:sz w:val="24"/>
        </w:rPr>
        <w:t>供货</w:t>
      </w:r>
      <w:r>
        <w:rPr>
          <w:rFonts w:hint="eastAsia" w:ascii="宋体" w:hAnsi="宋体"/>
          <w:color w:val="000000" w:themeColor="text1"/>
          <w:sz w:val="24"/>
        </w:rPr>
        <w:t>、安装调试及招标方操作人员的技术培训。</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方负责调试过程的技术培训及实际生产操作的岗位培训。</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（2）</w:t>
      </w:r>
      <w:r>
        <w:rPr>
          <w:rFonts w:ascii="Times New Roman" w:hAnsi="Times New Roman" w:cs="Times New Roman"/>
          <w:color w:val="000000" w:themeColor="text1"/>
          <w:sz w:val="24"/>
        </w:rPr>
        <w:t>为了顺利进行设备的安装和正常运行，</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方负责派遣技术熟练的专职技术人员到施工现场进行技术服务。</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（3）</w:t>
      </w: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方技术人员的实际人数、预计到达和离开合同设备现场的日期根据现场施工的实际进度由双方协商决定。</w:t>
      </w:r>
    </w:p>
    <w:p>
      <w:pPr>
        <w:spacing w:line="500" w:lineRule="exact"/>
        <w:rPr>
          <w:rFonts w:ascii="Times New Roman" w:hAnsi="Times New Roman" w:cs="Times New Roman"/>
          <w:color w:val="000000" w:themeColor="text1"/>
          <w:sz w:val="24"/>
        </w:rPr>
      </w:pPr>
      <w:r>
        <w:rPr>
          <w:rFonts w:hint="eastAsia" w:ascii="Times New Roman" w:hAnsi="Times New Roman" w:cs="Times New Roman"/>
          <w:color w:val="000000" w:themeColor="text1"/>
          <w:sz w:val="24"/>
        </w:rPr>
        <w:t>（4）</w:t>
      </w:r>
      <w:r>
        <w:rPr>
          <w:rFonts w:ascii="Times New Roman" w:hAnsi="Times New Roman" w:cs="Times New Roman"/>
          <w:color w:val="000000" w:themeColor="text1"/>
          <w:sz w:val="24"/>
        </w:rPr>
        <w:t>安装调试服务范围及职责</w:t>
      </w:r>
    </w:p>
    <w:p>
      <w:pPr>
        <w:spacing w:line="360" w:lineRule="auto"/>
        <w:rPr>
          <w:rFonts w:ascii="Times New Roman" w:hAnsi="Times New Roman" w:cs="Times New Roman"/>
          <w:color w:val="000000" w:themeColor="text1"/>
          <w:sz w:val="24"/>
        </w:rPr>
      </w:pPr>
      <w:r>
        <w:rPr>
          <w:rFonts w:hint="eastAsia" w:ascii="Times New Roman" w:hAnsi="Times New Roman" w:cs="Times New Roman"/>
          <w:color w:val="000000" w:themeColor="text1"/>
          <w:sz w:val="24"/>
        </w:rPr>
        <w:t>投标</w:t>
      </w:r>
      <w:r>
        <w:rPr>
          <w:rFonts w:ascii="Times New Roman" w:hAnsi="Times New Roman" w:cs="Times New Roman"/>
          <w:color w:val="000000" w:themeColor="text1"/>
          <w:sz w:val="24"/>
        </w:rPr>
        <w:t>方负责整个系统的调试</w:t>
      </w:r>
      <w:r>
        <w:rPr>
          <w:rFonts w:hint="eastAsia" w:ascii="Times New Roman" w:hAnsi="Times New Roman" w:cs="Times New Roman"/>
          <w:color w:val="000000" w:themeColor="text1"/>
          <w:sz w:val="24"/>
        </w:rPr>
        <w:t>工作</w:t>
      </w:r>
      <w:r>
        <w:rPr>
          <w:rFonts w:ascii="Times New Roman" w:hAnsi="Times New Roman" w:cs="Times New Roman"/>
          <w:color w:val="000000" w:themeColor="text1"/>
          <w:sz w:val="24"/>
        </w:rPr>
        <w:t>，直到项目的正常运行。</w:t>
      </w:r>
    </w:p>
    <w:bookmarkEnd w:id="1"/>
    <w:bookmarkEnd w:id="2"/>
    <w:p>
      <w:pPr>
        <w:spacing w:line="360" w:lineRule="auto"/>
        <w:rPr>
          <w:rFonts w:ascii="Times New Roman" w:hAnsi="Times New Roman" w:cs="Times New Roman"/>
          <w:color w:val="000000" w:themeColor="text1"/>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4" o:spid="_x0000_s2050"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x&#10;9uWx0gAAAAQBAAAPAAAAAAAAAAEAIAAAACIAAABkcnMvZG93bnJldi54bWxQSwECFAAUAAAACACH&#10;TuJA2L5dJbgBAABUAwAADgAAAAAAAAABACAAAAAhAQAAZHJzL2Uyb0RvYy54bWxQSwUGAAAAAAYA&#10;BgBZAQAASwUAAAAA&#10;">
          <v:path/>
          <v:fill on="f" focussize="0,0"/>
          <v:stroke on="f" joinstyle="miter"/>
          <v:imagedata o:title=""/>
          <o:lock v:ext="edit"/>
          <v:textbox inset="0mm,0mm,0mm,0mm" style="mso-fit-shape-to-text:t;">
            <w:txbxContent>
              <w:p>
                <w:pPr>
                  <w:pStyle w:val="10"/>
                  <w:jc w:val="center"/>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6</w:t>
                </w:r>
                <w:r>
                  <w:fldChar w:fldCharType="end"/>
                </w:r>
                <w:r>
                  <w:rPr>
                    <w:rFonts w:hint="eastAsia"/>
                  </w:rPr>
                  <w:t>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2C1"/>
    <w:rsid w:val="00021013"/>
    <w:rsid w:val="00030FAF"/>
    <w:rsid w:val="000400A7"/>
    <w:rsid w:val="0004086D"/>
    <w:rsid w:val="00054583"/>
    <w:rsid w:val="0006694D"/>
    <w:rsid w:val="00073355"/>
    <w:rsid w:val="00075FD9"/>
    <w:rsid w:val="0009096F"/>
    <w:rsid w:val="000911F6"/>
    <w:rsid w:val="000A7B0C"/>
    <w:rsid w:val="000B5387"/>
    <w:rsid w:val="000C71B6"/>
    <w:rsid w:val="000F0C54"/>
    <w:rsid w:val="00115F44"/>
    <w:rsid w:val="001169E7"/>
    <w:rsid w:val="00135A1C"/>
    <w:rsid w:val="001369DB"/>
    <w:rsid w:val="00152C10"/>
    <w:rsid w:val="00161363"/>
    <w:rsid w:val="00171188"/>
    <w:rsid w:val="00172A27"/>
    <w:rsid w:val="00184EB9"/>
    <w:rsid w:val="001954A9"/>
    <w:rsid w:val="001C1D01"/>
    <w:rsid w:val="001D5A4A"/>
    <w:rsid w:val="001E5E8B"/>
    <w:rsid w:val="001F4638"/>
    <w:rsid w:val="002068E3"/>
    <w:rsid w:val="0022440A"/>
    <w:rsid w:val="00226305"/>
    <w:rsid w:val="00241DEE"/>
    <w:rsid w:val="002606F2"/>
    <w:rsid w:val="0027513D"/>
    <w:rsid w:val="00281A4B"/>
    <w:rsid w:val="00293989"/>
    <w:rsid w:val="002A36FE"/>
    <w:rsid w:val="002B5197"/>
    <w:rsid w:val="002C0E5E"/>
    <w:rsid w:val="002E2B26"/>
    <w:rsid w:val="002E763F"/>
    <w:rsid w:val="002F29CE"/>
    <w:rsid w:val="002F3B66"/>
    <w:rsid w:val="002F59B5"/>
    <w:rsid w:val="002F7546"/>
    <w:rsid w:val="0030095A"/>
    <w:rsid w:val="0033257A"/>
    <w:rsid w:val="00342F61"/>
    <w:rsid w:val="003565CF"/>
    <w:rsid w:val="00360A6B"/>
    <w:rsid w:val="0039788B"/>
    <w:rsid w:val="003979A7"/>
    <w:rsid w:val="003A01C3"/>
    <w:rsid w:val="003A2CBE"/>
    <w:rsid w:val="003A437F"/>
    <w:rsid w:val="003B504F"/>
    <w:rsid w:val="003D222E"/>
    <w:rsid w:val="003D72A8"/>
    <w:rsid w:val="003F15CF"/>
    <w:rsid w:val="003F5AC7"/>
    <w:rsid w:val="004147AF"/>
    <w:rsid w:val="00437D2E"/>
    <w:rsid w:val="004538BD"/>
    <w:rsid w:val="004658EC"/>
    <w:rsid w:val="00496805"/>
    <w:rsid w:val="004C0893"/>
    <w:rsid w:val="004C5FCB"/>
    <w:rsid w:val="004E6579"/>
    <w:rsid w:val="00502608"/>
    <w:rsid w:val="005036DA"/>
    <w:rsid w:val="00517700"/>
    <w:rsid w:val="00536B8A"/>
    <w:rsid w:val="005502D5"/>
    <w:rsid w:val="005E61D4"/>
    <w:rsid w:val="005F224F"/>
    <w:rsid w:val="00617BEE"/>
    <w:rsid w:val="00627F02"/>
    <w:rsid w:val="0065660D"/>
    <w:rsid w:val="00693534"/>
    <w:rsid w:val="006A42B9"/>
    <w:rsid w:val="006C0A63"/>
    <w:rsid w:val="006C4427"/>
    <w:rsid w:val="006C66D2"/>
    <w:rsid w:val="006D1256"/>
    <w:rsid w:val="006D642C"/>
    <w:rsid w:val="006F2CA1"/>
    <w:rsid w:val="007070C4"/>
    <w:rsid w:val="00716A1D"/>
    <w:rsid w:val="00726593"/>
    <w:rsid w:val="007335D9"/>
    <w:rsid w:val="0074268C"/>
    <w:rsid w:val="00782D03"/>
    <w:rsid w:val="00783089"/>
    <w:rsid w:val="007932A7"/>
    <w:rsid w:val="007A5243"/>
    <w:rsid w:val="007B0BA7"/>
    <w:rsid w:val="007C5FA0"/>
    <w:rsid w:val="00806F80"/>
    <w:rsid w:val="0082618D"/>
    <w:rsid w:val="008341AE"/>
    <w:rsid w:val="00847A6B"/>
    <w:rsid w:val="00887D16"/>
    <w:rsid w:val="00896F01"/>
    <w:rsid w:val="008A0C7B"/>
    <w:rsid w:val="008B2BBC"/>
    <w:rsid w:val="008C2FFD"/>
    <w:rsid w:val="0090555D"/>
    <w:rsid w:val="009115BA"/>
    <w:rsid w:val="00921226"/>
    <w:rsid w:val="00931D57"/>
    <w:rsid w:val="00934826"/>
    <w:rsid w:val="009449C5"/>
    <w:rsid w:val="009633E9"/>
    <w:rsid w:val="009757CA"/>
    <w:rsid w:val="009906A9"/>
    <w:rsid w:val="009C0C69"/>
    <w:rsid w:val="009F0336"/>
    <w:rsid w:val="00A10817"/>
    <w:rsid w:val="00A134FA"/>
    <w:rsid w:val="00A30D25"/>
    <w:rsid w:val="00A32BD1"/>
    <w:rsid w:val="00A35606"/>
    <w:rsid w:val="00A41E4C"/>
    <w:rsid w:val="00A622FD"/>
    <w:rsid w:val="00A629D2"/>
    <w:rsid w:val="00A93288"/>
    <w:rsid w:val="00A97FF6"/>
    <w:rsid w:val="00AA6766"/>
    <w:rsid w:val="00AA6AB4"/>
    <w:rsid w:val="00AC3485"/>
    <w:rsid w:val="00AE3CD8"/>
    <w:rsid w:val="00B15646"/>
    <w:rsid w:val="00B343D9"/>
    <w:rsid w:val="00B37998"/>
    <w:rsid w:val="00B4130D"/>
    <w:rsid w:val="00B46B4E"/>
    <w:rsid w:val="00B62872"/>
    <w:rsid w:val="00B665D0"/>
    <w:rsid w:val="00B748BB"/>
    <w:rsid w:val="00B91860"/>
    <w:rsid w:val="00BA0F1E"/>
    <w:rsid w:val="00BA5DF5"/>
    <w:rsid w:val="00BB353A"/>
    <w:rsid w:val="00BB4BDC"/>
    <w:rsid w:val="00BC6E48"/>
    <w:rsid w:val="00BD7341"/>
    <w:rsid w:val="00BE3AAE"/>
    <w:rsid w:val="00BF3786"/>
    <w:rsid w:val="00C2149E"/>
    <w:rsid w:val="00C24BAE"/>
    <w:rsid w:val="00C34715"/>
    <w:rsid w:val="00C35061"/>
    <w:rsid w:val="00C445D9"/>
    <w:rsid w:val="00C50977"/>
    <w:rsid w:val="00C517F4"/>
    <w:rsid w:val="00C552A2"/>
    <w:rsid w:val="00C62A46"/>
    <w:rsid w:val="00C65296"/>
    <w:rsid w:val="00C72C3C"/>
    <w:rsid w:val="00C7330D"/>
    <w:rsid w:val="00C76448"/>
    <w:rsid w:val="00C8432C"/>
    <w:rsid w:val="00C85510"/>
    <w:rsid w:val="00C91968"/>
    <w:rsid w:val="00C94ED0"/>
    <w:rsid w:val="00CA2475"/>
    <w:rsid w:val="00CA282C"/>
    <w:rsid w:val="00CA2B38"/>
    <w:rsid w:val="00CB1601"/>
    <w:rsid w:val="00CE7791"/>
    <w:rsid w:val="00D02B1F"/>
    <w:rsid w:val="00D21267"/>
    <w:rsid w:val="00D3064C"/>
    <w:rsid w:val="00D37E27"/>
    <w:rsid w:val="00D464A8"/>
    <w:rsid w:val="00D73C03"/>
    <w:rsid w:val="00D76743"/>
    <w:rsid w:val="00D80397"/>
    <w:rsid w:val="00DB7547"/>
    <w:rsid w:val="00DD1F5B"/>
    <w:rsid w:val="00DE4CB8"/>
    <w:rsid w:val="00E10259"/>
    <w:rsid w:val="00E14652"/>
    <w:rsid w:val="00E166E2"/>
    <w:rsid w:val="00E24684"/>
    <w:rsid w:val="00E555DB"/>
    <w:rsid w:val="00E73A03"/>
    <w:rsid w:val="00E80308"/>
    <w:rsid w:val="00EC1341"/>
    <w:rsid w:val="00EC5623"/>
    <w:rsid w:val="00ED5AD4"/>
    <w:rsid w:val="00F101D5"/>
    <w:rsid w:val="00F33080"/>
    <w:rsid w:val="00F55205"/>
    <w:rsid w:val="00F5656C"/>
    <w:rsid w:val="00F66730"/>
    <w:rsid w:val="00F92CE8"/>
    <w:rsid w:val="00F945DC"/>
    <w:rsid w:val="00FA6505"/>
    <w:rsid w:val="00FB16D9"/>
    <w:rsid w:val="00FE3882"/>
    <w:rsid w:val="01102C0E"/>
    <w:rsid w:val="011A3824"/>
    <w:rsid w:val="02304C1E"/>
    <w:rsid w:val="028B0F59"/>
    <w:rsid w:val="02DD26E3"/>
    <w:rsid w:val="02DD2FBE"/>
    <w:rsid w:val="033A72A6"/>
    <w:rsid w:val="037176C5"/>
    <w:rsid w:val="037C525F"/>
    <w:rsid w:val="0500094B"/>
    <w:rsid w:val="050C1ED9"/>
    <w:rsid w:val="05B36DB2"/>
    <w:rsid w:val="06444370"/>
    <w:rsid w:val="06BD7302"/>
    <w:rsid w:val="08BB0840"/>
    <w:rsid w:val="09A1370A"/>
    <w:rsid w:val="0B944B47"/>
    <w:rsid w:val="0BFB7931"/>
    <w:rsid w:val="0C593D29"/>
    <w:rsid w:val="0D9643E2"/>
    <w:rsid w:val="0DF13D25"/>
    <w:rsid w:val="0E417C0E"/>
    <w:rsid w:val="0E5B62B4"/>
    <w:rsid w:val="0E5E095D"/>
    <w:rsid w:val="0EC5697A"/>
    <w:rsid w:val="0EED7A61"/>
    <w:rsid w:val="0F1E7544"/>
    <w:rsid w:val="0FE908DB"/>
    <w:rsid w:val="10055116"/>
    <w:rsid w:val="10796FDE"/>
    <w:rsid w:val="10E031FB"/>
    <w:rsid w:val="10F13232"/>
    <w:rsid w:val="11025693"/>
    <w:rsid w:val="110823E5"/>
    <w:rsid w:val="11F65518"/>
    <w:rsid w:val="12605215"/>
    <w:rsid w:val="12C76575"/>
    <w:rsid w:val="141E52F0"/>
    <w:rsid w:val="14AE4C51"/>
    <w:rsid w:val="14DD7AD0"/>
    <w:rsid w:val="14FA0805"/>
    <w:rsid w:val="15107EAA"/>
    <w:rsid w:val="15C664B9"/>
    <w:rsid w:val="16A01C95"/>
    <w:rsid w:val="16F222A3"/>
    <w:rsid w:val="17F01ED9"/>
    <w:rsid w:val="182517DE"/>
    <w:rsid w:val="182C17A9"/>
    <w:rsid w:val="19A02BDF"/>
    <w:rsid w:val="19B3729C"/>
    <w:rsid w:val="1A311256"/>
    <w:rsid w:val="1A92453D"/>
    <w:rsid w:val="1AB65571"/>
    <w:rsid w:val="1B840E79"/>
    <w:rsid w:val="1BB14739"/>
    <w:rsid w:val="1BF14AE2"/>
    <w:rsid w:val="1C336CF4"/>
    <w:rsid w:val="1E430D77"/>
    <w:rsid w:val="1FB84F71"/>
    <w:rsid w:val="203523E3"/>
    <w:rsid w:val="20664070"/>
    <w:rsid w:val="20C447E8"/>
    <w:rsid w:val="212E65DA"/>
    <w:rsid w:val="21E151FC"/>
    <w:rsid w:val="21ED6154"/>
    <w:rsid w:val="228A70D0"/>
    <w:rsid w:val="22BC5330"/>
    <w:rsid w:val="23F81BF8"/>
    <w:rsid w:val="24DB0F77"/>
    <w:rsid w:val="24EC4AF3"/>
    <w:rsid w:val="255670F9"/>
    <w:rsid w:val="2617065E"/>
    <w:rsid w:val="26D01826"/>
    <w:rsid w:val="27F756C2"/>
    <w:rsid w:val="28490AC5"/>
    <w:rsid w:val="2A235934"/>
    <w:rsid w:val="2A650E38"/>
    <w:rsid w:val="2AA13F0E"/>
    <w:rsid w:val="2AD64646"/>
    <w:rsid w:val="2B31629B"/>
    <w:rsid w:val="2B6D4422"/>
    <w:rsid w:val="2B9C021B"/>
    <w:rsid w:val="2D2B3EF4"/>
    <w:rsid w:val="2D6854D4"/>
    <w:rsid w:val="2F7E4B70"/>
    <w:rsid w:val="305D005B"/>
    <w:rsid w:val="31915719"/>
    <w:rsid w:val="31A513ED"/>
    <w:rsid w:val="3210314E"/>
    <w:rsid w:val="326B191D"/>
    <w:rsid w:val="33130007"/>
    <w:rsid w:val="33131E8B"/>
    <w:rsid w:val="334B2D69"/>
    <w:rsid w:val="33964895"/>
    <w:rsid w:val="34220773"/>
    <w:rsid w:val="34583F07"/>
    <w:rsid w:val="34BA2498"/>
    <w:rsid w:val="34DA6DB3"/>
    <w:rsid w:val="358E6AC2"/>
    <w:rsid w:val="35F41131"/>
    <w:rsid w:val="364D1AB2"/>
    <w:rsid w:val="36AB745A"/>
    <w:rsid w:val="37941A01"/>
    <w:rsid w:val="37BC1E6F"/>
    <w:rsid w:val="390B1D84"/>
    <w:rsid w:val="3A3F1216"/>
    <w:rsid w:val="3AA33DD0"/>
    <w:rsid w:val="3AE07279"/>
    <w:rsid w:val="3B0C0981"/>
    <w:rsid w:val="3C022DA4"/>
    <w:rsid w:val="3CD479C5"/>
    <w:rsid w:val="3D2F4D05"/>
    <w:rsid w:val="3D9E5D78"/>
    <w:rsid w:val="3E8B292B"/>
    <w:rsid w:val="3EC24CAD"/>
    <w:rsid w:val="3F38542B"/>
    <w:rsid w:val="40064A00"/>
    <w:rsid w:val="40CB0281"/>
    <w:rsid w:val="410E0F65"/>
    <w:rsid w:val="41F65FA1"/>
    <w:rsid w:val="42EE2CCD"/>
    <w:rsid w:val="43733E9E"/>
    <w:rsid w:val="43B577A2"/>
    <w:rsid w:val="43DE63C2"/>
    <w:rsid w:val="44C820C9"/>
    <w:rsid w:val="44C8571B"/>
    <w:rsid w:val="45B45B68"/>
    <w:rsid w:val="466239A7"/>
    <w:rsid w:val="46844B32"/>
    <w:rsid w:val="46E046E0"/>
    <w:rsid w:val="470518CE"/>
    <w:rsid w:val="48437CA2"/>
    <w:rsid w:val="49056B24"/>
    <w:rsid w:val="494D0AD5"/>
    <w:rsid w:val="4996550B"/>
    <w:rsid w:val="49A20C06"/>
    <w:rsid w:val="49B00776"/>
    <w:rsid w:val="4B0E2342"/>
    <w:rsid w:val="4B405462"/>
    <w:rsid w:val="4BE75CC2"/>
    <w:rsid w:val="4C1C1521"/>
    <w:rsid w:val="4C1F0D79"/>
    <w:rsid w:val="4C9929BA"/>
    <w:rsid w:val="4E701051"/>
    <w:rsid w:val="4EA75356"/>
    <w:rsid w:val="4F217900"/>
    <w:rsid w:val="4F8D3500"/>
    <w:rsid w:val="50EE03A4"/>
    <w:rsid w:val="517C0A41"/>
    <w:rsid w:val="52A22684"/>
    <w:rsid w:val="52D32F81"/>
    <w:rsid w:val="53716AF0"/>
    <w:rsid w:val="543E5274"/>
    <w:rsid w:val="56EA6BDE"/>
    <w:rsid w:val="56F66874"/>
    <w:rsid w:val="575E02A1"/>
    <w:rsid w:val="58532C56"/>
    <w:rsid w:val="585D4401"/>
    <w:rsid w:val="5931573D"/>
    <w:rsid w:val="598B474F"/>
    <w:rsid w:val="59C8403E"/>
    <w:rsid w:val="59E2049D"/>
    <w:rsid w:val="59FD4209"/>
    <w:rsid w:val="5A487437"/>
    <w:rsid w:val="5B2A4CEC"/>
    <w:rsid w:val="5B4F2FF0"/>
    <w:rsid w:val="5BC70A2F"/>
    <w:rsid w:val="5C210223"/>
    <w:rsid w:val="5C2A6EB6"/>
    <w:rsid w:val="5C6B4808"/>
    <w:rsid w:val="5D125434"/>
    <w:rsid w:val="5DAD0AC4"/>
    <w:rsid w:val="5F28261E"/>
    <w:rsid w:val="5F7E58AB"/>
    <w:rsid w:val="5FDD6470"/>
    <w:rsid w:val="60967DA8"/>
    <w:rsid w:val="60CA46DB"/>
    <w:rsid w:val="614028AD"/>
    <w:rsid w:val="622F6B07"/>
    <w:rsid w:val="62832366"/>
    <w:rsid w:val="62852998"/>
    <w:rsid w:val="62BB5F6E"/>
    <w:rsid w:val="63405731"/>
    <w:rsid w:val="63CB62EC"/>
    <w:rsid w:val="64A1558B"/>
    <w:rsid w:val="65433EC8"/>
    <w:rsid w:val="656B6ED8"/>
    <w:rsid w:val="658D3F2D"/>
    <w:rsid w:val="65C272DC"/>
    <w:rsid w:val="65E41E24"/>
    <w:rsid w:val="65F2283E"/>
    <w:rsid w:val="660B13B1"/>
    <w:rsid w:val="663D5516"/>
    <w:rsid w:val="6719013C"/>
    <w:rsid w:val="67436D8A"/>
    <w:rsid w:val="67EF36C5"/>
    <w:rsid w:val="68027D8C"/>
    <w:rsid w:val="688B301A"/>
    <w:rsid w:val="68A10546"/>
    <w:rsid w:val="69C84E21"/>
    <w:rsid w:val="6AAB7D5C"/>
    <w:rsid w:val="6C1705E3"/>
    <w:rsid w:val="6DB4653E"/>
    <w:rsid w:val="6EE6387E"/>
    <w:rsid w:val="6FBF0120"/>
    <w:rsid w:val="6FCC4EC8"/>
    <w:rsid w:val="7004059F"/>
    <w:rsid w:val="705C65C7"/>
    <w:rsid w:val="740F18F8"/>
    <w:rsid w:val="746F6ED1"/>
    <w:rsid w:val="747D3A01"/>
    <w:rsid w:val="74F21446"/>
    <w:rsid w:val="75863413"/>
    <w:rsid w:val="767D6A17"/>
    <w:rsid w:val="76F352E4"/>
    <w:rsid w:val="774E274E"/>
    <w:rsid w:val="77E37D01"/>
    <w:rsid w:val="785E3E56"/>
    <w:rsid w:val="79A41A9E"/>
    <w:rsid w:val="79AA4628"/>
    <w:rsid w:val="7A0659FB"/>
    <w:rsid w:val="7A2E2F23"/>
    <w:rsid w:val="7AF44C3C"/>
    <w:rsid w:val="7D0041BB"/>
    <w:rsid w:val="7DCF7F26"/>
    <w:rsid w:val="7DFB1065"/>
    <w:rsid w:val="7E1D53A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spacing w:line="360" w:lineRule="auto"/>
      <w:ind w:firstLine="480" w:firstLineChars="200"/>
    </w:pPr>
    <w:rPr>
      <w:rFonts w:ascii="宋体" w:hAnsi="宋体"/>
      <w:sz w:val="24"/>
    </w:rPr>
  </w:style>
  <w:style w:type="paragraph" w:styleId="7">
    <w:name w:val="Plain Text"/>
    <w:basedOn w:val="1"/>
    <w:link w:val="25"/>
    <w:qFormat/>
    <w:uiPriority w:val="0"/>
    <w:rPr>
      <w:rFonts w:ascii="宋体" w:hAnsi="Courier New"/>
      <w:szCs w:val="20"/>
    </w:rPr>
  </w:style>
  <w:style w:type="paragraph" w:styleId="8">
    <w:name w:val="Date"/>
    <w:basedOn w:val="1"/>
    <w:next w:val="1"/>
    <w:link w:val="29"/>
    <w:qFormat/>
    <w:uiPriority w:val="0"/>
    <w:pPr>
      <w:ind w:left="100" w:leftChars="2500"/>
    </w:p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4"/>
    <w:qFormat/>
    <w:uiPriority w:val="0"/>
    <w:pPr>
      <w:spacing w:before="240" w:after="60"/>
      <w:jc w:val="center"/>
      <w:outlineLvl w:val="0"/>
    </w:pPr>
    <w:rPr>
      <w:rFonts w:ascii="Cambria" w:hAnsi="Cambria"/>
      <w:b/>
      <w:bCs/>
      <w:sz w:val="32"/>
      <w:szCs w:val="32"/>
    </w:rPr>
  </w:style>
  <w:style w:type="paragraph" w:customStyle="1" w:styleId="16">
    <w:name w:val="正文文本缩进 21"/>
    <w:basedOn w:val="1"/>
    <w:qFormat/>
    <w:uiPriority w:val="0"/>
    <w:pPr>
      <w:ind w:firstLine="560" w:firstLineChars="200"/>
    </w:pPr>
    <w:rPr>
      <w:kern w:val="0"/>
      <w:sz w:val="28"/>
    </w:rPr>
  </w:style>
  <w:style w:type="paragraph" w:customStyle="1" w:styleId="17">
    <w:name w:val="正文文本缩进1"/>
    <w:basedOn w:val="1"/>
    <w:qFormat/>
    <w:uiPriority w:val="0"/>
    <w:pPr>
      <w:ind w:firstLine="528"/>
    </w:pPr>
    <w:rPr>
      <w:kern w:val="0"/>
      <w:sz w:val="28"/>
    </w:rPr>
  </w:style>
  <w:style w:type="character" w:customStyle="1" w:styleId="18">
    <w:name w:val="font11"/>
    <w:qFormat/>
    <w:uiPriority w:val="0"/>
    <w:rPr>
      <w:rFonts w:hint="eastAsia" w:ascii="宋体" w:hAnsi="宋体" w:eastAsia="宋体" w:cs="宋体"/>
      <w:color w:val="000000"/>
      <w:sz w:val="24"/>
      <w:szCs w:val="24"/>
      <w:u w:val="none"/>
      <w:vertAlign w:val="superscript"/>
    </w:rPr>
  </w:style>
  <w:style w:type="paragraph" w:customStyle="1" w:styleId="19">
    <w:name w:val="列出段落1"/>
    <w:basedOn w:val="1"/>
    <w:unhideWhenUsed/>
    <w:qFormat/>
    <w:uiPriority w:val="99"/>
    <w:pPr>
      <w:ind w:firstLine="420" w:firstLineChars="200"/>
    </w:p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批注框文本 Char"/>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_Style 1"/>
    <w:basedOn w:val="1"/>
    <w:qFormat/>
    <w:uiPriority w:val="0"/>
    <w:pPr>
      <w:ind w:firstLine="420" w:firstLineChars="200"/>
    </w:pPr>
  </w:style>
  <w:style w:type="character" w:customStyle="1" w:styleId="24">
    <w:name w:val="标题 Char"/>
    <w:link w:val="13"/>
    <w:uiPriority w:val="0"/>
    <w:rPr>
      <w:rFonts w:ascii="Cambria" w:hAnsi="Cambria" w:eastAsiaTheme="minorEastAsia" w:cstheme="minorBidi"/>
      <w:b/>
      <w:bCs/>
      <w:kern w:val="2"/>
      <w:sz w:val="32"/>
      <w:szCs w:val="32"/>
    </w:rPr>
  </w:style>
  <w:style w:type="character" w:customStyle="1" w:styleId="25">
    <w:name w:val="纯文本 Char"/>
    <w:link w:val="7"/>
    <w:uiPriority w:val="0"/>
    <w:rPr>
      <w:rFonts w:ascii="宋体" w:hAnsi="Courier New" w:eastAsiaTheme="minorEastAsia" w:cstheme="minorBidi"/>
      <w:kern w:val="2"/>
      <w:sz w:val="21"/>
    </w:rPr>
  </w:style>
  <w:style w:type="character" w:customStyle="1" w:styleId="26">
    <w:name w:val="普通文字 Char Char Char Char Char Char Char Char Char Char Char Char Char Char"/>
    <w:link w:val="27"/>
    <w:qFormat/>
    <w:uiPriority w:val="0"/>
    <w:rPr>
      <w:kern w:val="2"/>
      <w:sz w:val="28"/>
      <w:szCs w:val="28"/>
    </w:rPr>
  </w:style>
  <w:style w:type="paragraph" w:customStyle="1" w:styleId="27">
    <w:name w:val="普通文字"/>
    <w:basedOn w:val="1"/>
    <w:link w:val="26"/>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28">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29">
    <w:name w:val="日期 Char"/>
    <w:basedOn w:val="15"/>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540</Words>
  <Characters>3084</Characters>
  <Lines>25</Lines>
  <Paragraphs>7</Paragraphs>
  <TotalTime>532</TotalTime>
  <ScaleCrop>false</ScaleCrop>
  <LinksUpToDate>false</LinksUpToDate>
  <CharactersWithSpaces>3617</CharactersWithSpaces>
  <Application>WPS Office_11.1.0.9820_F1E327BC-269C-435d-A152-05C5408002CA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2019-07-31T08:12:00Z</dcterms:created>
  <dc:creator>叶子</dc:creator>
  <cp:lastModifiedBy>Administrator</cp:lastModifiedBy>
  <cp:lastPrinted>2019-10-24T02:52:00Z</cp:lastPrinted>
  <dcterms:modified xsi:type="dcterms:W3CDTF">2020-06-23T08:46:59Z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2052-11.1.0.9820</vt:lpwstr>
  </property>
</Properties>
</file>