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sz w:val="44"/>
          <w:szCs w:val="44"/>
          <w:highlight w:val="none"/>
        </w:rPr>
      </w:pPr>
      <w:bookmarkStart w:id="0" w:name="_Toc318376965"/>
      <w:r>
        <w:rPr>
          <w:rFonts w:hint="eastAsia" w:ascii="Times New Roman" w:hAnsi="Times New Roman" w:cs="Times New Roman"/>
          <w:b/>
          <w:sz w:val="44"/>
          <w:szCs w:val="44"/>
          <w:highlight w:val="none"/>
        </w:rPr>
        <w:t xml:space="preserve"> 防爆自动跟踪定位消防炮招标技术文件</w:t>
      </w:r>
    </w:p>
    <w:bookmarkEnd w:id="0"/>
    <w:p>
      <w:pPr>
        <w:adjustRightInd w:val="0"/>
        <w:snapToGrid w:val="0"/>
        <w:spacing w:line="360" w:lineRule="auto"/>
        <w:jc w:val="both"/>
        <w:rPr>
          <w:rFonts w:ascii="宋体" w:hAnsi="宋体" w:eastAsia="宋体" w:cs="Times New Roman"/>
          <w:color w:val="000000" w:themeColor="text1"/>
          <w:sz w:val="24"/>
          <w:szCs w:val="24"/>
          <w:highlight w:val="none"/>
        </w:rPr>
      </w:pPr>
      <w:bookmarkStart w:id="1" w:name="_Toc371353775"/>
      <w:bookmarkStart w:id="2" w:name="_Toc378091629"/>
      <w:bookmarkStart w:id="3" w:name="_Toc21641"/>
      <w:bookmarkStart w:id="4" w:name="_Toc426550707"/>
      <w:r>
        <w:rPr>
          <w:rFonts w:hint="eastAsia" w:ascii="宋体" w:hAnsi="宋体" w:eastAsia="宋体" w:cs="Times New Roman"/>
          <w:color w:val="000000" w:themeColor="text1"/>
          <w:sz w:val="24"/>
          <w:szCs w:val="24"/>
          <w:highlight w:val="none"/>
        </w:rPr>
        <w:t>一、</w:t>
      </w:r>
      <w:r>
        <w:rPr>
          <w:rFonts w:ascii="宋体" w:hAnsi="宋体" w:eastAsia="宋体" w:cs="Times New Roman"/>
          <w:color w:val="000000" w:themeColor="text1"/>
          <w:sz w:val="24"/>
          <w:szCs w:val="24"/>
          <w:highlight w:val="none"/>
        </w:rPr>
        <w:t xml:space="preserve"> </w:t>
      </w:r>
      <w:bookmarkEnd w:id="1"/>
      <w:bookmarkEnd w:id="2"/>
      <w:bookmarkStart w:id="5" w:name="_Toc378091631"/>
      <w:bookmarkStart w:id="6" w:name="_Toc375478002"/>
      <w:bookmarkStart w:id="7" w:name="_Toc375489056"/>
      <w:bookmarkStart w:id="8" w:name="_Toc375491703"/>
      <w:bookmarkStart w:id="9" w:name="_Toc375490918"/>
      <w:bookmarkStart w:id="10" w:name="_Toc375492432"/>
      <w:bookmarkStart w:id="11" w:name="_Toc375484438"/>
      <w:bookmarkStart w:id="12" w:name="_Toc375488692"/>
      <w:bookmarkStart w:id="13" w:name="_Toc375475915"/>
      <w:bookmarkStart w:id="14" w:name="_Toc375483431"/>
      <w:bookmarkStart w:id="15" w:name="_Toc375490146"/>
      <w:r>
        <w:rPr>
          <w:rFonts w:ascii="宋体" w:hAnsi="宋体" w:eastAsia="宋体" w:cs="Times New Roman"/>
          <w:color w:val="000000" w:themeColor="text1"/>
          <w:sz w:val="24"/>
          <w:szCs w:val="24"/>
          <w:highlight w:val="none"/>
        </w:rPr>
        <w:t>项目概况</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rPr>
          <w:rFonts w:ascii="宋体" w:hAnsi="宋体" w:eastAsia="宋体" w:cs="Times New Roman"/>
          <w:color w:val="000000" w:themeColor="text1"/>
          <w:sz w:val="24"/>
          <w:highlight w:val="none"/>
        </w:rPr>
      </w:pPr>
      <w:r>
        <w:rPr>
          <w:rFonts w:ascii="宋体" w:hAnsi="宋体" w:eastAsia="宋体" w:cs="Times New Roman"/>
          <w:color w:val="000000" w:themeColor="text1"/>
          <w:sz w:val="24"/>
          <w:highlight w:val="none"/>
        </w:rPr>
        <w:t>项目名称：</w:t>
      </w:r>
      <w:r>
        <w:rPr>
          <w:rFonts w:ascii="宋体" w:hAnsi="宋体" w:eastAsia="宋体"/>
          <w:color w:val="000000" w:themeColor="text1"/>
          <w:sz w:val="24"/>
          <w:highlight w:val="none"/>
        </w:rPr>
        <w:t>芜湖新兴铸管有限责任公司</w:t>
      </w:r>
      <w:r>
        <w:rPr>
          <w:rFonts w:hint="eastAsia" w:ascii="宋体" w:hAnsi="宋体" w:eastAsia="宋体"/>
          <w:color w:val="000000" w:themeColor="text1"/>
          <w:sz w:val="24"/>
          <w:highlight w:val="none"/>
        </w:rPr>
        <w:t>综合料场封闭工程自动消防灭火系统</w:t>
      </w:r>
      <w:r>
        <w:rPr>
          <w:rFonts w:hint="eastAsia" w:ascii="宋体" w:hAnsi="宋体" w:eastAsia="宋体" w:cs="Times New Roman"/>
          <w:color w:val="000000" w:themeColor="text1"/>
          <w:sz w:val="24"/>
          <w:highlight w:val="none"/>
        </w:rPr>
        <w:t>。</w:t>
      </w:r>
    </w:p>
    <w:p>
      <w:pPr>
        <w:spacing w:line="360" w:lineRule="auto"/>
        <w:rPr>
          <w:rFonts w:ascii="宋体" w:hAnsi="宋体" w:eastAsia="宋体" w:cs="Times New Roman"/>
          <w:color w:val="000000" w:themeColor="text1"/>
          <w:sz w:val="24"/>
          <w:highlight w:val="none"/>
        </w:rPr>
      </w:pPr>
      <w:r>
        <w:rPr>
          <w:rFonts w:ascii="宋体" w:hAnsi="宋体" w:eastAsia="宋体" w:cs="Times New Roman"/>
          <w:color w:val="000000" w:themeColor="text1"/>
          <w:sz w:val="24"/>
          <w:highlight w:val="none"/>
        </w:rPr>
        <w:t>所在位置：本工程位于</w:t>
      </w:r>
      <w:r>
        <w:rPr>
          <w:rFonts w:hint="eastAsia" w:ascii="宋体" w:hAnsi="宋体" w:eastAsia="宋体"/>
          <w:color w:val="000000" w:themeColor="text1"/>
          <w:sz w:val="24"/>
          <w:highlight w:val="none"/>
        </w:rPr>
        <w:t>芜湖市三山区芜湖新兴铸管</w:t>
      </w:r>
      <w:r>
        <w:rPr>
          <w:rFonts w:ascii="宋体" w:hAnsi="宋体" w:eastAsia="宋体" w:cs="Times New Roman"/>
          <w:color w:val="000000" w:themeColor="text1"/>
          <w:sz w:val="24"/>
          <w:highlight w:val="none"/>
        </w:rPr>
        <w:t>有限责任公司厂区内。</w:t>
      </w:r>
    </w:p>
    <w:p>
      <w:pPr>
        <w:pStyle w:val="2"/>
        <w:rPr>
          <w:rFonts w:ascii="宋体" w:hAnsi="宋体" w:eastAsia="宋体" w:cs="Times New Roman"/>
          <w:bCs w:val="0"/>
          <w:color w:val="000000" w:themeColor="text1"/>
          <w:sz w:val="24"/>
          <w:szCs w:val="24"/>
          <w:highlight w:val="none"/>
        </w:rPr>
      </w:pPr>
      <w:bookmarkStart w:id="16" w:name="_Toc375490148"/>
      <w:bookmarkStart w:id="17" w:name="_Toc375490920"/>
      <w:bookmarkStart w:id="18" w:name="_Toc375492434"/>
      <w:bookmarkStart w:id="19" w:name="_Toc378091633"/>
      <w:bookmarkStart w:id="20" w:name="_Toc375491705"/>
      <w:bookmarkStart w:id="21" w:name="_Toc375488694"/>
      <w:bookmarkStart w:id="22" w:name="_Toc375489058"/>
      <w:r>
        <w:rPr>
          <w:rFonts w:hint="eastAsia" w:ascii="宋体" w:hAnsi="宋体" w:eastAsia="宋体" w:cs="Times New Roman"/>
          <w:bCs w:val="0"/>
          <w:color w:val="000000" w:themeColor="text1"/>
          <w:sz w:val="24"/>
          <w:szCs w:val="24"/>
          <w:highlight w:val="none"/>
        </w:rPr>
        <w:t>二、</w:t>
      </w:r>
      <w:r>
        <w:rPr>
          <w:rFonts w:ascii="宋体" w:hAnsi="宋体" w:eastAsia="宋体" w:cs="Times New Roman"/>
          <w:bCs w:val="0"/>
          <w:color w:val="000000" w:themeColor="text1"/>
          <w:sz w:val="24"/>
          <w:szCs w:val="24"/>
          <w:highlight w:val="none"/>
        </w:rPr>
        <w:t xml:space="preserve"> 供货范围</w:t>
      </w:r>
      <w:bookmarkEnd w:id="16"/>
      <w:bookmarkEnd w:id="17"/>
      <w:bookmarkEnd w:id="18"/>
      <w:bookmarkEnd w:id="19"/>
      <w:bookmarkEnd w:id="20"/>
      <w:bookmarkEnd w:id="21"/>
      <w:bookmarkEnd w:id="22"/>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1.</w:t>
      </w:r>
      <w:r>
        <w:rPr>
          <w:rFonts w:ascii="宋体" w:hAnsi="宋体" w:eastAsia="宋体" w:cs="Times New Roman"/>
          <w:color w:val="000000" w:themeColor="text1"/>
          <w:sz w:val="24"/>
          <w:highlight w:val="none"/>
        </w:rPr>
        <w:t xml:space="preserve"> 供货范围为</w:t>
      </w:r>
      <w:r>
        <w:rPr>
          <w:rFonts w:hint="eastAsia" w:ascii="宋体" w:hAnsi="宋体" w:eastAsia="宋体" w:cs="Times New Roman"/>
          <w:color w:val="000000" w:themeColor="text1"/>
          <w:sz w:val="24"/>
          <w:highlight w:val="none"/>
        </w:rPr>
        <w:t>防爆型自动跟踪定位射流消防炮灭火系统。安装在封闭大棚内，标高为38m和28.7m。</w:t>
      </w:r>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2.卖方负责设备供货</w:t>
      </w:r>
      <w:r>
        <w:rPr>
          <w:rFonts w:ascii="宋体" w:hAnsi="宋体" w:eastAsia="宋体" w:cs="Times New Roman"/>
          <w:color w:val="000000" w:themeColor="text1"/>
          <w:sz w:val="24"/>
          <w:highlight w:val="none"/>
        </w:rPr>
        <w:t>、运输、指导安装、试验、检验、考核和验收，操作人员培训及现场服务等全套服务在内。并按照本协议的要求正常投入运转。</w:t>
      </w:r>
      <w:bookmarkStart w:id="23" w:name="_Toc375490151"/>
      <w:bookmarkStart w:id="24" w:name="_Toc375483436"/>
      <w:bookmarkStart w:id="25" w:name="_Toc378091636"/>
      <w:bookmarkStart w:id="26" w:name="_Toc454611705"/>
      <w:bookmarkStart w:id="27" w:name="_Toc375484443"/>
      <w:bookmarkStart w:id="28" w:name="_Toc375475920"/>
      <w:bookmarkStart w:id="29" w:name="_Toc375488697"/>
      <w:bookmarkStart w:id="30" w:name="_Toc371353776"/>
      <w:bookmarkStart w:id="31" w:name="_Toc375478007"/>
      <w:bookmarkStart w:id="32" w:name="_Toc375491708"/>
      <w:bookmarkStart w:id="33" w:name="_Toc371153314"/>
      <w:bookmarkStart w:id="34" w:name="_Toc375490923"/>
      <w:bookmarkStart w:id="35" w:name="_Toc375489061"/>
      <w:bookmarkStart w:id="36" w:name="_Toc375492437"/>
    </w:p>
    <w:p>
      <w:pPr>
        <w:pStyle w:val="3"/>
        <w:spacing w:line="360" w:lineRule="auto"/>
        <w:rPr>
          <w:rFonts w:ascii="宋体" w:hAnsi="宋体" w:eastAsia="宋体" w:cs="Times New Roman"/>
          <w:color w:val="000000" w:themeColor="text1"/>
          <w:sz w:val="24"/>
          <w:szCs w:val="24"/>
          <w:highlight w:val="none"/>
        </w:rPr>
      </w:pPr>
      <w:bookmarkStart w:id="37" w:name="_Toc221933065"/>
      <w:r>
        <w:rPr>
          <w:rFonts w:hint="eastAsia" w:ascii="宋体" w:hAnsi="宋体" w:eastAsia="宋体" w:cs="Times New Roman"/>
          <w:color w:val="000000" w:themeColor="text1"/>
          <w:sz w:val="24"/>
          <w:szCs w:val="24"/>
          <w:highlight w:val="none"/>
        </w:rPr>
        <w:t>三、技术要求</w:t>
      </w:r>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1.技术依据</w:t>
      </w:r>
    </w:p>
    <w:p>
      <w:pPr>
        <w:spacing w:line="360" w:lineRule="auto"/>
        <w:ind w:firstLine="480" w:firstLineChars="200"/>
        <w:rPr>
          <w:rFonts w:ascii="宋体" w:hAnsi="宋体" w:eastAsia="宋体" w:cs="Times New Roman"/>
          <w:color w:val="000000" w:themeColor="text1"/>
          <w:sz w:val="24"/>
          <w:highlight w:val="none"/>
        </w:rPr>
      </w:pPr>
      <w:bookmarkStart w:id="38" w:name="_Toc74966792"/>
      <w:bookmarkStart w:id="39" w:name="_Toc12962877"/>
      <w:bookmarkStart w:id="40" w:name="_Toc53204560"/>
      <w:bookmarkStart w:id="41" w:name="_Toc12962346"/>
      <w:r>
        <w:rPr>
          <w:rFonts w:hint="eastAsia" w:ascii="宋体" w:hAnsi="宋体" w:eastAsia="宋体" w:cs="Times New Roman"/>
          <w:color w:val="000000" w:themeColor="text1"/>
          <w:sz w:val="24"/>
          <w:highlight w:val="none"/>
        </w:rPr>
        <w:t>本系统的设计、安装、调试、验收、监制应满足以下规范和标准：</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《火灾自动报警系统设计规范》（GB50116-2013）</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《火力发电厂与变电所设计防火规范》(GB50229－2006)</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《建筑设计防火规范》(GB 50016-2014)</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《自动喷水灭火系统设计规范》（GB50084-2001）（2005年版）</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《固定消防炮灭火系统设计规范》（GB50338-2003）</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《自动消防炮灭火系统技术规程》  （CECS245:2008）；</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《自动跟踪定位射流灭火系统》 （GB25204-2010）；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《特种火灾探测器》GB15631-2008</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《爆炸性环境 第1部分：设备通用要求》(GB3836.1-2010)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《爆炸性环境 第2部分：由隔爆外壳“d”保护的设备》（GB3836.1-2010）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《消防炮通用技术条件》（GB19156-2003）</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《远程消防炮系统通用技术条件》（GB19157-2003）</w:t>
      </w:r>
    </w:p>
    <w:p>
      <w:pPr>
        <w:spacing w:line="360" w:lineRule="auto"/>
        <w:ind w:firstLine="480" w:firstLineChars="200"/>
        <w:rPr>
          <w:rFonts w:ascii="宋体" w:hAnsi="宋体" w:eastAsia="宋体" w:cs="Times New Roman"/>
          <w:color w:val="000000" w:themeColor="text1"/>
          <w:sz w:val="24"/>
          <w:highlight w:val="none"/>
        </w:rPr>
      </w:pPr>
      <w:r>
        <w:rPr>
          <w:rFonts w:ascii="宋体" w:hAnsi="宋体" w:eastAsia="宋体" w:cs="Times New Roman"/>
          <w:color w:val="000000" w:themeColor="text1"/>
          <w:sz w:val="24"/>
          <w:highlight w:val="none"/>
        </w:rPr>
        <w:t>以上标准若有更新，则以最新版本为准</w:t>
      </w:r>
      <w:r>
        <w:rPr>
          <w:rFonts w:hint="eastAsia" w:ascii="宋体" w:hAnsi="宋体" w:eastAsia="宋体" w:cs="Times New Roman"/>
          <w:color w:val="000000" w:themeColor="text1"/>
          <w:sz w:val="24"/>
          <w:highlight w:val="none"/>
        </w:rPr>
        <w:t>，如上述规范和标准之间，或它们与本技术条件书之间有重大原则性冲突时，投标人应及时用书面形式向招标人提出解决方法的建议，并由双方共同协商处理。</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投标人提供的所有系统中的消防设备必须是经中国国家消防装备质量监督检验中心检验合格的产品.</w:t>
      </w:r>
      <w:bookmarkEnd w:id="38"/>
      <w:bookmarkEnd w:id="39"/>
      <w:bookmarkEnd w:id="40"/>
      <w:bookmarkEnd w:id="41"/>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2.一般要求及系统描述</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防爆型自动跟踪定位射流消防炮灭火系统主要包括：防爆自动消防炮、防爆图像定位器、现场手动控制箱、防爆电动阀、控制主机等，不限于此。</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防爆型自动跟踪定位射流消防炮灭火系统整套系统应具有如下功能：</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1）全自动灭火功能。采用图像型火灾探测系统作为前端探测系统，能自动分析火焰特征，智能判断，主动可视报警；防爆图像火灾探测器迅速向信息处理主机发出警报信息，自动启动消防水泵，根据报警区域位置系统启动自动消防炮，自动扫描并指向火源点实施灭火。</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（2）现场人工控制灭火功能。若现场人员发现着火点，可通过消防炮现场控制盘操作自动消防炮对准着火点。</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3）远程控制灭火功能。由消防控制中心值班人员，在控制中心通过监控系统，使用消防炮现场控制盘或消防炮控制主机系统，对火灾区域的消防炮进行操纵，实施灭火功能，同时也可以根据现场人员发现着火点，通过现场手动控制盘实现灭火功能。</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（4）所有电动设施均需采用防爆型(BT4)。</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（5）集中联动控制柜能与消防泵房控制柜通讯，具有硬启消防泵输出接口，控制柜显示器需显示消防泵房消防水泵和稳压泵的运行状态； 显示消防水池的高水位、低水位信号。</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（6）可与任何厂家火灾自动报警系统进行火警联动；可显示现场任一台消防炮和电磁阀运行状态和报警、故障信息；</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（7）可远程对现场任一消防水炮进行纯手动水平和垂直定位，并能远程对现场任一电磁阀进行开关控制。内置事件记录及查询功能。</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卖方应负责全部的自动消防炮系统的供货、安装指导、现场调试。</w:t>
      </w:r>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3.主要设备技术要求</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（1）防爆自动消防炮</w:t>
      </w:r>
    </w:p>
    <w:p>
      <w:pPr>
        <w:widowControl/>
        <w:shd w:val="clear" w:color="auto" w:fill="FFFFFF"/>
        <w:spacing w:line="360" w:lineRule="auto"/>
        <w:ind w:firstLine="480" w:firstLineChars="200"/>
        <w:jc w:val="left"/>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自动消防炮利用步进电动机进行消防炮的水平和垂直调节，以及喷嘴的调节，可实现自动图像定位功能，火灾发生时自动指向火源点，定点扑救；水炮定位时间以最短为优（以检测报告为准），确保灭火效率。可以远距离控制，带有电动操作柱状/雾状喷嘴转换等特点。技术参数如下：</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流量：50L/s</w:t>
      </w:r>
    </w:p>
    <w:p>
      <w:pPr>
        <w:spacing w:line="360" w:lineRule="auto"/>
        <w:ind w:firstLine="480" w:firstLineChars="200"/>
        <w:rPr>
          <w:rFonts w:hint="eastAsia"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入口压力：</w:t>
      </w:r>
      <w:r>
        <w:rPr>
          <w:rFonts w:hint="eastAsia" w:ascii="宋体" w:hAnsi="宋体"/>
          <w:color w:val="000000" w:themeColor="text1"/>
          <w:sz w:val="24"/>
          <w:highlight w:val="none"/>
        </w:rPr>
        <w:t>消防炮在设计压力1.0MPa的条件下，射程不小于70m。需厂家提供压力-射程曲线及承诺书供招标方审查。参考国标08S208-23</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定位时间：≤</w:t>
      </w:r>
      <w:r>
        <w:rPr>
          <w:rFonts w:hint="eastAsia" w:ascii="宋体" w:hAnsi="宋体" w:eastAsia="宋体" w:cs="Times New Roman"/>
          <w:color w:val="000000" w:themeColor="text1"/>
          <w:sz w:val="24"/>
          <w:highlight w:val="none"/>
          <w:lang w:val="en-US" w:eastAsia="zh-CN"/>
        </w:rPr>
        <w:t>60</w:t>
      </w:r>
      <w:r>
        <w:rPr>
          <w:rFonts w:hint="eastAsia" w:ascii="宋体" w:hAnsi="宋体" w:eastAsia="宋体" w:cs="Times New Roman"/>
          <w:color w:val="000000" w:themeColor="text1"/>
          <w:sz w:val="24"/>
          <w:highlight w:val="none"/>
        </w:rPr>
        <w:t>秒</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入口法兰：DN100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水平旋转角度：0°～360°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垂直旋转角度：-90°～＋30°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防爆等级：Exd II BT4.</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炮体材质：304不锈钢</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安装方式：吊装在马道下</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喷射方式：直射后往复摆动。</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工作环境：满足气候条件</w:t>
      </w:r>
    </w:p>
    <w:p>
      <w:pPr>
        <w:spacing w:line="360" w:lineRule="auto"/>
        <w:ind w:firstLine="480" w:firstLineChars="200"/>
        <w:rPr>
          <w:rFonts w:ascii="宋体" w:hAnsi="宋体" w:eastAsia="宋体" w:cs="Times New Roman"/>
          <w:color w:val="000000" w:themeColor="text1"/>
          <w:sz w:val="24"/>
          <w:highlight w:val="none"/>
        </w:rPr>
      </w:pPr>
      <w:bookmarkStart w:id="42" w:name="OLE_LINK3"/>
      <w:r>
        <w:rPr>
          <w:rFonts w:hint="eastAsia" w:ascii="宋体" w:hAnsi="宋体" w:eastAsia="宋体" w:cs="Times New Roman"/>
          <w:color w:val="000000" w:themeColor="text1"/>
          <w:sz w:val="24"/>
          <w:highlight w:val="none"/>
        </w:rPr>
        <w:t>（2）防爆图像定位器</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防爆图像定位器镶嵌在防爆自动消防炮的前段，防爆等级ExdIICT6,具有辅助自动消防炮扫描定位功能，与防爆图像火灾探测器协调配合使用,同时辅助远程手动可视控制消防炮上下左右旋转，寻找着火点喷水灭火。</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当现场发生火灾时，防爆图像火灾探测器将探测火灾报警信息通过消防炮主机系统传输给防爆图像定位器，经过快速扫描定位，防爆图像定位器将最终准确图像定位信号传输给消防炮控制主机系统，自动确认开阀、启泵，喷水灭火。火灾扑灭后复位重新进入监控待扫描状态。技术参数如下：</w:t>
      </w:r>
    </w:p>
    <w:p>
      <w:pPr>
        <w:spacing w:line="360" w:lineRule="auto"/>
        <w:ind w:firstLine="480" w:firstLineChars="200"/>
        <w:rPr>
          <w:rFonts w:hint="default" w:ascii="宋体" w:hAnsi="宋体" w:eastAsia="宋体" w:cs="Times New Roman"/>
          <w:color w:val="000000" w:themeColor="text1"/>
          <w:sz w:val="24"/>
          <w:highlight w:val="none"/>
          <w:lang w:val="en-US" w:eastAsia="zh-CN"/>
        </w:rPr>
      </w:pPr>
      <w:r>
        <w:rPr>
          <w:rFonts w:hint="eastAsia" w:ascii="宋体" w:hAnsi="宋体" w:eastAsia="宋体" w:cs="Times New Roman"/>
          <w:color w:val="000000" w:themeColor="text1"/>
          <w:sz w:val="24"/>
          <w:highlight w:val="none"/>
        </w:rPr>
        <w:t>工作电压：DC12V</w:t>
      </w:r>
      <w:r>
        <w:rPr>
          <w:rFonts w:hint="eastAsia" w:ascii="宋体" w:hAnsi="宋体" w:eastAsia="宋体" w:cs="Times New Roman"/>
          <w:color w:val="000000" w:themeColor="text1"/>
          <w:sz w:val="24"/>
          <w:highlight w:val="none"/>
          <w:lang w:val="en-US" w:eastAsia="zh-CN"/>
        </w:rPr>
        <w:t>/24V</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信号输出：1路视频（具备红外定位信号及彩色CCD视频信号）</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额定功率：小于15W</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安装方式：镶嵌炮体上</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防爆等级：ExdIICT6</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水平保护角度：0°～360°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垂直保护角度：-90°～＋30°</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环境温度：-20℃～+50℃</w:t>
      </w:r>
      <w:bookmarkEnd w:id="42"/>
    </w:p>
    <w:p>
      <w:pPr>
        <w:pStyle w:val="28"/>
        <w:adjustRightInd w:val="0"/>
        <w:snapToGrid w:val="0"/>
        <w:spacing w:line="360" w:lineRule="auto"/>
        <w:ind w:firstLine="420"/>
        <w:rPr>
          <w:rFonts w:ascii="宋体" w:hAnsi="宋体"/>
          <w:color w:val="000000" w:themeColor="text1"/>
          <w:sz w:val="21"/>
          <w:szCs w:val="21"/>
          <w:highlight w:val="none"/>
        </w:rPr>
      </w:pPr>
      <w:r>
        <w:rPr>
          <w:rFonts w:ascii="宋体" w:hAnsi="宋体"/>
          <w:color w:val="000000" w:themeColor="text1"/>
          <w:sz w:val="21"/>
          <w:szCs w:val="21"/>
          <w:highlight w:val="none"/>
        </w:rPr>
        <w:t>（3）防爆图像火灾探测器</w:t>
      </w:r>
    </w:p>
    <w:p>
      <w:pPr>
        <w:adjustRightInd w:val="0"/>
        <w:snapToGrid w:val="0"/>
        <w:spacing w:line="360" w:lineRule="auto"/>
        <w:ind w:firstLine="420" w:firstLineChars="200"/>
        <w:rPr>
          <w:rFonts w:ascii="宋体" w:hAnsi="宋体" w:eastAsia="宋体" w:cs="Times New Roman"/>
          <w:color w:val="222A35" w:themeColor="text2" w:themeShade="80"/>
          <w:kern w:val="0"/>
          <w:szCs w:val="21"/>
          <w:highlight w:val="none"/>
        </w:rPr>
      </w:pPr>
      <w:r>
        <w:rPr>
          <w:rFonts w:hint="eastAsia" w:ascii="宋体" w:hAnsi="宋体" w:eastAsia="宋体" w:cs="Times New Roman"/>
          <w:color w:val="000000" w:themeColor="text1"/>
          <w:kern w:val="0"/>
          <w:szCs w:val="21"/>
          <w:highlight w:val="none"/>
        </w:rPr>
        <w:t>消防水炮系统由图像火灾探测部分，图像定位、炮体喷水灭火部分三部分组成，其中探测部分是该系统的核心部分。</w:t>
      </w:r>
    </w:p>
    <w:p>
      <w:pPr>
        <w:adjustRightInd w:val="0"/>
        <w:snapToGrid w:val="0"/>
        <w:spacing w:line="360" w:lineRule="auto"/>
        <w:ind w:firstLine="420" w:firstLineChars="200"/>
        <w:rPr>
          <w:rFonts w:ascii="宋体" w:hAnsi="宋体" w:eastAsia="宋体" w:cs="Times New Roman"/>
          <w:color w:val="000000" w:themeColor="text1"/>
          <w:kern w:val="0"/>
          <w:szCs w:val="21"/>
          <w:highlight w:val="none"/>
        </w:rPr>
      </w:pPr>
      <w:r>
        <w:rPr>
          <w:rFonts w:hint="eastAsia" w:ascii="宋体" w:hAnsi="宋体" w:eastAsia="宋体" w:cs="Times New Roman"/>
          <w:color w:val="000000" w:themeColor="text1"/>
          <w:kern w:val="0"/>
          <w:szCs w:val="21"/>
          <w:highlight w:val="none"/>
        </w:rPr>
        <w:t>防爆图像火灾探测器性能参数：</w:t>
      </w:r>
    </w:p>
    <w:tbl>
      <w:tblPr>
        <w:tblStyle w:val="14"/>
        <w:tblpPr w:leftFromText="180" w:rightFromText="180" w:vertAnchor="text" w:horzAnchor="page" w:tblpXSpec="center" w:tblpY="278"/>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1995"/>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型号</w:t>
            </w:r>
          </w:p>
        </w:tc>
        <w:tc>
          <w:tcPr>
            <w:tcW w:w="6164" w:type="dxa"/>
            <w:gridSpan w:val="2"/>
          </w:tcPr>
          <w:p>
            <w:pPr>
              <w:jc w:val="center"/>
              <w:rPr>
                <w:rFonts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镜头尺寸</w:t>
            </w:r>
          </w:p>
        </w:tc>
        <w:tc>
          <w:tcPr>
            <w:tcW w:w="6164" w:type="dxa"/>
            <w:gridSpan w:val="2"/>
          </w:tcPr>
          <w:p>
            <w:pPr>
              <w:jc w:val="both"/>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水平视场角</w:t>
            </w:r>
          </w:p>
        </w:tc>
        <w:tc>
          <w:tcPr>
            <w:tcW w:w="6164" w:type="dxa"/>
            <w:gridSpan w:val="2"/>
          </w:tcPr>
          <w:p>
            <w:pPr>
              <w:jc w:val="center"/>
              <w:rPr>
                <w:rFonts w:ascii="宋体" w:hAnsi="宋体" w:eastAsia="宋体" w:cs="宋体"/>
                <w:color w:val="000000" w:themeColor="text1"/>
                <w:szCs w:val="21"/>
                <w:highlight w:val="none"/>
              </w:rPr>
            </w:pPr>
            <w:bookmarkStart w:id="53" w:name="_GoBack"/>
            <w:bookmarkEnd w:id="53"/>
            <w:r>
              <w:rPr>
                <w:rFonts w:hint="eastAsia" w:ascii="宋体" w:hAnsi="宋体" w:eastAsia="宋体" w:cs="宋体"/>
                <w:color w:val="000000" w:themeColor="text1"/>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垂直视场角</w:t>
            </w:r>
          </w:p>
        </w:tc>
        <w:tc>
          <w:tcPr>
            <w:tcW w:w="6164" w:type="dxa"/>
            <w:gridSpan w:val="2"/>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探测距离</w:t>
            </w:r>
          </w:p>
        </w:tc>
        <w:tc>
          <w:tcPr>
            <w:tcW w:w="6164" w:type="dxa"/>
            <w:gridSpan w:val="2"/>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电源</w:t>
            </w:r>
          </w:p>
        </w:tc>
        <w:tc>
          <w:tcPr>
            <w:tcW w:w="1995" w:type="dxa"/>
            <w:vAlign w:val="center"/>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电压</w:t>
            </w:r>
          </w:p>
        </w:tc>
        <w:tc>
          <w:tcPr>
            <w:tcW w:w="4169" w:type="dxa"/>
            <w:vAlign w:val="center"/>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标清AC220V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Merge w:val="restart"/>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环境条件</w:t>
            </w:r>
          </w:p>
        </w:tc>
        <w:tc>
          <w:tcPr>
            <w:tcW w:w="1995" w:type="dxa"/>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大气压力</w:t>
            </w:r>
          </w:p>
        </w:tc>
        <w:tc>
          <w:tcPr>
            <w:tcW w:w="4169" w:type="dxa"/>
          </w:tcPr>
          <w:p>
            <w:pPr>
              <w:jc w:val="center"/>
              <w:rPr>
                <w:rFonts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80~110KPa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Merge w:val="continue"/>
            <w:vAlign w:val="center"/>
          </w:tcPr>
          <w:p>
            <w:pPr>
              <w:jc w:val="center"/>
              <w:rPr>
                <w:rFonts w:ascii="宋体" w:hAnsi="宋体" w:eastAsia="宋体" w:cs="Times New Roman"/>
                <w:color w:val="000000" w:themeColor="text1"/>
                <w:szCs w:val="21"/>
                <w:highlight w:val="none"/>
              </w:rPr>
            </w:pPr>
          </w:p>
        </w:tc>
        <w:tc>
          <w:tcPr>
            <w:tcW w:w="1995" w:type="dxa"/>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工作温度</w:t>
            </w:r>
          </w:p>
        </w:tc>
        <w:tc>
          <w:tcPr>
            <w:tcW w:w="4169" w:type="dxa"/>
          </w:tcPr>
          <w:p>
            <w:pPr>
              <w:jc w:val="center"/>
              <w:rPr>
                <w:rFonts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Merge w:val="continue"/>
            <w:vAlign w:val="center"/>
          </w:tcPr>
          <w:p>
            <w:pPr>
              <w:jc w:val="center"/>
              <w:rPr>
                <w:rFonts w:ascii="宋体" w:hAnsi="宋体" w:eastAsia="宋体" w:cs="Times New Roman"/>
                <w:color w:val="000000" w:themeColor="text1"/>
                <w:szCs w:val="21"/>
                <w:highlight w:val="none"/>
              </w:rPr>
            </w:pPr>
          </w:p>
        </w:tc>
        <w:tc>
          <w:tcPr>
            <w:tcW w:w="1995" w:type="dxa"/>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湿度</w:t>
            </w:r>
          </w:p>
        </w:tc>
        <w:tc>
          <w:tcPr>
            <w:tcW w:w="4169" w:type="dxa"/>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≤95%RH(+25</w:t>
            </w:r>
            <w:r>
              <w:rPr>
                <w:rFonts w:hint="eastAsia" w:ascii="宋体" w:hAnsi="宋体" w:eastAsia="宋体" w:cs="宋体"/>
                <w:bCs/>
                <w:color w:val="000000" w:themeColor="text1"/>
                <w:szCs w:val="21"/>
                <w:highlight w:val="none"/>
              </w:rPr>
              <w:t>℃</w:t>
            </w:r>
            <w:r>
              <w:rPr>
                <w:rFonts w:hint="eastAsia" w:ascii="宋体" w:hAnsi="宋体" w:eastAsia="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vAlign w:val="center"/>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防护等级</w:t>
            </w:r>
          </w:p>
        </w:tc>
        <w:tc>
          <w:tcPr>
            <w:tcW w:w="6164" w:type="dxa"/>
            <w:gridSpan w:val="2"/>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871" w:type="dxa"/>
          </w:tcPr>
          <w:p>
            <w:pPr>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防爆等级</w:t>
            </w:r>
          </w:p>
        </w:tc>
        <w:tc>
          <w:tcPr>
            <w:tcW w:w="6164" w:type="dxa"/>
            <w:gridSpan w:val="2"/>
          </w:tcPr>
          <w:p>
            <w:pPr>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ExdIICT6 Gb</w:t>
            </w:r>
          </w:p>
        </w:tc>
      </w:tr>
    </w:tbl>
    <w:p>
      <w:pPr>
        <w:spacing w:line="360" w:lineRule="auto"/>
        <w:rPr>
          <w:rFonts w:ascii="宋体" w:hAnsi="宋体" w:eastAsia="宋体" w:cs="Times New Roman"/>
          <w:color w:val="000000" w:themeColor="text1"/>
          <w:sz w:val="24"/>
          <w:highlight w:val="none"/>
        </w:rPr>
      </w:pP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（4）防爆现场手动控制箱</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消防炮控制系统应具有现场手动操作功能，同时系统设有现场控制箱。现场控制箱采用防爆材质，防护等级为EXdIIBT4/IP54，箱门为外扣并和箱体齐平，防爆箱（材质：304不锈钢）厚度不小于1.2mm,具备防雷输入端子，有防雷功能。现场控制箱为下进线；箱内各元件应有和控制原理图一致的中文标识。消防炮现场控制盘位于输煤综合楼内，具有人工操纵消防炮旋转、消防泵启停及其他设备运行，实现就地操纵消防炮灭火功能，同时具有与主控室内的主盘连接并向它发送信号，使主盘能报警、显示和控制有关的消防设备等功能。封闭煤场消防炮控制系统应接收来自集中控制盘的指令，同时厂房集中控制盘具有直接启动消防炮的按钮功能。</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（5）其它消防设施</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防爆自动消防水炮设置的数量和位置应保证其保护部位同时有二股水柱到达，且从发现火情、报警、启动自动消防水炮扫描定位、炮口出水时间＜1min。</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防爆型自动跟踪定位射流消防炮灭火系统可以远程控制并自动搜索火源、对准着火点、自动喷洒水或其他灭火剂进行灭火，可与火灾自动报警系统联动，既可手动控制，也可实现自动操作，适用于扑救大空间内的早期火灾。对于设置自动喷水灭火系统不能有效发挥早期响应和灭火作用的场所消防炮喷出的水量集中，流速快、冲量大，水流可以直接接触燃烧物而作用到火焰根部，将火焰剥离燃烧物使燃烧中止，能有效扑救高大空间内蔓延较快或火灾荷载大的火灾。</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卖方提供的与自动消防炮相配套的监视器、摄像机、探测器、硬盘录像器、不间断电源、信号处理器、图像监视器等设备应满足国家相应规范和本工程的消防配套设施。</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hint="eastAsia" w:ascii="宋体" w:hAnsi="宋体" w:eastAsia="宋体" w:cs="Times New Roman"/>
          <w:color w:val="000000" w:themeColor="text1"/>
          <w:sz w:val="24"/>
          <w:highlight w:val="none"/>
          <w:lang w:val="en-US" w:eastAsia="zh-CN"/>
        </w:rPr>
        <w:t>5</w:t>
      </w:r>
      <w:r>
        <w:rPr>
          <w:rFonts w:hint="eastAsia" w:ascii="宋体" w:hAnsi="宋体" w:eastAsia="宋体" w:cs="Times New Roman"/>
          <w:color w:val="000000" w:themeColor="text1"/>
          <w:sz w:val="24"/>
          <w:highlight w:val="none"/>
        </w:rPr>
        <w:t>）设备应适合运输，除大型结构外所有拆散件均用板条箱或其它包装箱包装并标上相应的符号后再发运。</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hint="eastAsia" w:ascii="宋体" w:hAnsi="宋体" w:eastAsia="宋体" w:cs="Times New Roman"/>
          <w:color w:val="000000" w:themeColor="text1"/>
          <w:sz w:val="24"/>
          <w:highlight w:val="none"/>
          <w:lang w:val="en-US" w:eastAsia="zh-CN"/>
        </w:rPr>
        <w:t>6</w:t>
      </w:r>
      <w:r>
        <w:rPr>
          <w:rFonts w:hint="eastAsia" w:ascii="宋体" w:hAnsi="宋体" w:eastAsia="宋体" w:cs="Times New Roman"/>
          <w:color w:val="000000" w:themeColor="text1"/>
          <w:sz w:val="24"/>
          <w:highlight w:val="none"/>
        </w:rPr>
        <w:t>）设备包装前须凃好防腐漆，以便在运输保管中的防腐。</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hint="eastAsia" w:ascii="宋体" w:hAnsi="宋体" w:eastAsia="宋体" w:cs="Times New Roman"/>
          <w:color w:val="000000" w:themeColor="text1"/>
          <w:sz w:val="24"/>
          <w:highlight w:val="none"/>
          <w:lang w:val="en-US" w:eastAsia="zh-CN"/>
        </w:rPr>
        <w:t>7</w:t>
      </w:r>
      <w:r>
        <w:rPr>
          <w:rFonts w:hint="eastAsia" w:ascii="宋体" w:hAnsi="宋体" w:eastAsia="宋体" w:cs="Times New Roman"/>
          <w:color w:val="000000" w:themeColor="text1"/>
          <w:sz w:val="24"/>
          <w:highlight w:val="none"/>
        </w:rPr>
        <w:t>）凡电气设备必须严格包装，以确保在运输保管期间（考虑露天放置至少</w:t>
      </w:r>
      <w:r>
        <w:rPr>
          <w:rFonts w:ascii="宋体" w:hAnsi="宋体" w:eastAsia="宋体" w:cs="Times New Roman"/>
          <w:color w:val="000000" w:themeColor="text1"/>
          <w:sz w:val="24"/>
          <w:highlight w:val="none"/>
        </w:rPr>
        <w:t>6</w:t>
      </w:r>
      <w:r>
        <w:rPr>
          <w:rFonts w:hint="eastAsia" w:ascii="宋体" w:hAnsi="宋体" w:eastAsia="宋体" w:cs="Times New Roman"/>
          <w:color w:val="000000" w:themeColor="text1"/>
          <w:sz w:val="24"/>
          <w:highlight w:val="none"/>
        </w:rPr>
        <w:t>个月）不被损坏，并防止受潮。</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hint="eastAsia" w:ascii="宋体" w:hAnsi="宋体" w:eastAsia="宋体" w:cs="Times New Roman"/>
          <w:color w:val="000000" w:themeColor="text1"/>
          <w:sz w:val="24"/>
          <w:highlight w:val="none"/>
          <w:lang w:val="en-US" w:eastAsia="zh-CN"/>
        </w:rPr>
        <w:t>8</w:t>
      </w:r>
      <w:r>
        <w:rPr>
          <w:rFonts w:hint="eastAsia" w:ascii="宋体" w:hAnsi="宋体" w:eastAsia="宋体" w:cs="Times New Roman"/>
          <w:color w:val="000000" w:themeColor="text1"/>
          <w:sz w:val="24"/>
          <w:highlight w:val="none"/>
        </w:rPr>
        <w:t>）所有外露部分，包括所有孔、管接头以及法兰、螺栓、螺母和末端焊接的连接件，均有保护装置，以防止在运输和储存期间损坏。</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w:t>
      </w:r>
      <w:r>
        <w:rPr>
          <w:rFonts w:hint="eastAsia" w:ascii="宋体" w:hAnsi="宋体" w:eastAsia="宋体" w:cs="Times New Roman"/>
          <w:color w:val="000000" w:themeColor="text1"/>
          <w:sz w:val="24"/>
          <w:highlight w:val="none"/>
          <w:lang w:val="en-US" w:eastAsia="zh-CN"/>
        </w:rPr>
        <w:t>9</w:t>
      </w:r>
      <w:r>
        <w:rPr>
          <w:rFonts w:hint="eastAsia" w:ascii="宋体" w:hAnsi="宋体" w:eastAsia="宋体" w:cs="Times New Roman"/>
          <w:color w:val="000000" w:themeColor="text1"/>
          <w:sz w:val="24"/>
          <w:highlight w:val="none"/>
        </w:rPr>
        <w:t>）产品包装、运输、储存须符合国家的有关规定。</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4）系统配置与技术要求</w:t>
      </w:r>
    </w:p>
    <w:p>
      <w:pPr>
        <w:spacing w:line="360" w:lineRule="auto"/>
        <w:ind w:firstLine="480" w:firstLineChars="200"/>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系统配置要求：</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Times New Roman"/>
          <w:b/>
          <w:bCs/>
          <w:color w:val="000000" w:themeColor="text1"/>
          <w:sz w:val="24"/>
          <w:highlight w:val="none"/>
        </w:rPr>
        <w:t>（1）采用先进、成熟、实用的技术，进行系统的深化、优化配置。</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Times New Roman"/>
          <w:b/>
          <w:bCs/>
          <w:color w:val="000000" w:themeColor="text1"/>
          <w:sz w:val="24"/>
          <w:highlight w:val="none"/>
        </w:rPr>
        <w:t>（2）防爆自动消防炮系统配置（包括：炮体、系统控制主机）必须为统一厂家生产的产品确保系统的连贯性。</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Times New Roman"/>
          <w:b/>
          <w:bCs/>
          <w:color w:val="000000" w:themeColor="text1"/>
          <w:sz w:val="24"/>
          <w:highlight w:val="none"/>
        </w:rPr>
        <w:t>（3）系统应具备较高的先进性、安全性、可靠性、可维护性和容错能力。</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Times New Roman"/>
          <w:b/>
          <w:bCs/>
          <w:color w:val="000000" w:themeColor="text1"/>
          <w:sz w:val="24"/>
          <w:highlight w:val="none"/>
        </w:rPr>
        <w:t>设备要求：</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宋体"/>
          <w:b/>
          <w:bCs/>
          <w:color w:val="000000" w:themeColor="text1"/>
          <w:sz w:val="24"/>
          <w:highlight w:val="none"/>
        </w:rPr>
        <w:t>*</w:t>
      </w:r>
      <w:r>
        <w:rPr>
          <w:rFonts w:hint="eastAsia" w:ascii="宋体" w:hAnsi="宋体" w:eastAsia="宋体" w:cs="Times New Roman"/>
          <w:b/>
          <w:bCs/>
          <w:color w:val="000000" w:themeColor="text1"/>
          <w:sz w:val="24"/>
          <w:highlight w:val="none"/>
        </w:rPr>
        <w:t>(1)防爆自动消防炮必须有《国家消防装备质量监督检验中心》出具的强制性3C认证；防爆自动消防炮必须有防爆合格证（防爆合格证中产品型号与3C认证产品型号一致，并在产品型号中有Ex防爆标识）。</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宋体"/>
          <w:b/>
          <w:bCs/>
          <w:color w:val="000000" w:themeColor="text1"/>
          <w:sz w:val="24"/>
          <w:highlight w:val="none"/>
        </w:rPr>
        <w:t>*</w:t>
      </w:r>
      <w:r>
        <w:rPr>
          <w:rFonts w:hint="eastAsia" w:ascii="宋体" w:hAnsi="宋体" w:eastAsia="宋体" w:cs="Times New Roman"/>
          <w:b/>
          <w:bCs/>
          <w:color w:val="000000" w:themeColor="text1"/>
          <w:sz w:val="24"/>
          <w:highlight w:val="none"/>
        </w:rPr>
        <w:t>(</w:t>
      </w:r>
      <w:r>
        <w:rPr>
          <w:rFonts w:hint="eastAsia" w:ascii="宋体" w:hAnsi="宋体" w:eastAsia="宋体" w:cs="Times New Roman"/>
          <w:b/>
          <w:bCs/>
          <w:color w:val="000000" w:themeColor="text1"/>
          <w:sz w:val="24"/>
          <w:highlight w:val="none"/>
          <w:lang w:val="en-US" w:eastAsia="zh-CN"/>
        </w:rPr>
        <w:t>2</w:t>
      </w:r>
      <w:r>
        <w:rPr>
          <w:rFonts w:hint="eastAsia" w:ascii="宋体" w:hAnsi="宋体" w:eastAsia="宋体" w:cs="Times New Roman"/>
          <w:b/>
          <w:bCs/>
          <w:color w:val="000000" w:themeColor="text1"/>
          <w:sz w:val="24"/>
          <w:highlight w:val="none"/>
        </w:rPr>
        <w:t>)防爆图像探测器必须有型式检验报告及3C认证。</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宋体"/>
          <w:b/>
          <w:bCs/>
          <w:color w:val="000000" w:themeColor="text1"/>
          <w:sz w:val="24"/>
          <w:highlight w:val="none"/>
        </w:rPr>
        <w:t>*</w:t>
      </w:r>
      <w:r>
        <w:rPr>
          <w:rFonts w:hint="eastAsia" w:ascii="宋体" w:hAnsi="宋体" w:eastAsia="宋体" w:cs="Times New Roman"/>
          <w:b/>
          <w:bCs/>
          <w:color w:val="000000" w:themeColor="text1"/>
          <w:sz w:val="24"/>
          <w:highlight w:val="none"/>
        </w:rPr>
        <w:t>(</w:t>
      </w:r>
      <w:r>
        <w:rPr>
          <w:rFonts w:hint="eastAsia" w:ascii="宋体" w:hAnsi="宋体" w:eastAsia="宋体" w:cs="Times New Roman"/>
          <w:b/>
          <w:bCs/>
          <w:color w:val="000000" w:themeColor="text1"/>
          <w:sz w:val="24"/>
          <w:highlight w:val="none"/>
          <w:lang w:val="en-US" w:eastAsia="zh-CN"/>
        </w:rPr>
        <w:t>3</w:t>
      </w:r>
      <w:r>
        <w:rPr>
          <w:rFonts w:hint="eastAsia" w:ascii="宋体" w:hAnsi="宋体" w:eastAsia="宋体" w:cs="Times New Roman"/>
          <w:b/>
          <w:bCs/>
          <w:color w:val="000000" w:themeColor="text1"/>
          <w:sz w:val="24"/>
          <w:highlight w:val="none"/>
        </w:rPr>
        <w:t>)自动消防炮防爆等级为ExdIIBT4，图像定位器防爆等级为ExdIICT6，图像火灾探测器防爆等级为ExdIICT6.</w:t>
      </w:r>
    </w:p>
    <w:p>
      <w:pPr>
        <w:spacing w:line="360" w:lineRule="auto"/>
        <w:ind w:firstLine="482" w:firstLineChars="200"/>
        <w:rPr>
          <w:rFonts w:ascii="宋体" w:hAnsi="宋体" w:eastAsia="宋体" w:cs="Times New Roman"/>
          <w:b/>
          <w:bCs/>
          <w:color w:val="000000" w:themeColor="text1"/>
          <w:sz w:val="24"/>
          <w:highlight w:val="none"/>
        </w:rPr>
      </w:pPr>
      <w:r>
        <w:rPr>
          <w:rFonts w:hint="eastAsia" w:ascii="宋体" w:hAnsi="宋体" w:eastAsia="宋体" w:cs="宋体"/>
          <w:b/>
          <w:bCs/>
          <w:color w:val="000000" w:themeColor="text1"/>
          <w:sz w:val="24"/>
          <w:highlight w:val="none"/>
        </w:rPr>
        <w:t>*</w:t>
      </w:r>
      <w:r>
        <w:rPr>
          <w:rFonts w:hint="eastAsia" w:ascii="宋体" w:hAnsi="宋体" w:eastAsia="宋体" w:cs="Times New Roman"/>
          <w:b/>
          <w:bCs/>
          <w:color w:val="000000" w:themeColor="text1"/>
          <w:sz w:val="24"/>
          <w:highlight w:val="none"/>
        </w:rPr>
        <w:t>(</w:t>
      </w:r>
      <w:r>
        <w:rPr>
          <w:rFonts w:hint="eastAsia" w:ascii="宋体" w:hAnsi="宋体" w:eastAsia="宋体" w:cs="Times New Roman"/>
          <w:b/>
          <w:bCs/>
          <w:color w:val="000000" w:themeColor="text1"/>
          <w:sz w:val="24"/>
          <w:highlight w:val="none"/>
          <w:lang w:val="en-US" w:eastAsia="zh-CN"/>
        </w:rPr>
        <w:t>4</w:t>
      </w:r>
      <w:r>
        <w:rPr>
          <w:rFonts w:hint="eastAsia" w:ascii="宋体" w:hAnsi="宋体" w:eastAsia="宋体" w:cs="Times New Roman"/>
          <w:b/>
          <w:bCs/>
          <w:color w:val="000000" w:themeColor="text1"/>
          <w:sz w:val="24"/>
          <w:highlight w:val="none"/>
        </w:rPr>
        <w:t>)投标方所提供的防爆图像火灾探测器与防爆自动消防炮必须为同一品牌，同一个厂商生产，确保系统连贯性。</w:t>
      </w:r>
    </w:p>
    <w:p>
      <w:pPr>
        <w:pStyle w:val="3"/>
        <w:spacing w:line="360" w:lineRule="auto"/>
        <w:rPr>
          <w:rFonts w:ascii="宋体" w:hAnsi="宋体" w:eastAsia="宋体" w:cs="Times New Roman"/>
          <w:color w:val="000000" w:themeColor="text1"/>
          <w:sz w:val="24"/>
          <w:szCs w:val="24"/>
          <w:highlight w:val="none"/>
        </w:rPr>
      </w:pPr>
      <w:r>
        <w:rPr>
          <w:rFonts w:hint="eastAsia" w:ascii="宋体" w:hAnsi="宋体" w:eastAsia="宋体" w:cs="Times New Roman"/>
          <w:color w:val="000000" w:themeColor="text1"/>
          <w:sz w:val="24"/>
          <w:szCs w:val="24"/>
          <w:highlight w:val="none"/>
        </w:rPr>
        <w:t>四、系统主要设备清单</w:t>
      </w:r>
    </w:p>
    <w:p>
      <w:pPr>
        <w:spacing w:line="360" w:lineRule="auto"/>
        <w:rPr>
          <w:rFonts w:ascii="宋体" w:hAnsi="宋体" w:eastAsia="宋体" w:cs="Times New Roman"/>
          <w:color w:val="000000" w:themeColor="text1"/>
          <w:sz w:val="24"/>
          <w:highlight w:val="none"/>
        </w:rPr>
      </w:pPr>
      <w:r>
        <w:rPr>
          <w:rFonts w:hint="eastAsia" w:ascii="宋体" w:hAnsi="宋体" w:eastAsia="宋体" w:cs="Times New Roman"/>
          <w:color w:val="000000" w:themeColor="text1"/>
          <w:sz w:val="24"/>
          <w:highlight w:val="none"/>
        </w:rPr>
        <w:t>系统设备清单（包括单不限于下列清单）</w:t>
      </w:r>
    </w:p>
    <w:tbl>
      <w:tblPr>
        <w:tblStyle w:val="14"/>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2839"/>
        <w:gridCol w:w="2279"/>
        <w:gridCol w:w="720"/>
        <w:gridCol w:w="875"/>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序号</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名    称</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规  格</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单位</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数量</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48" w:type="dxa"/>
            <w:gridSpan w:val="6"/>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一、现场设备部分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防爆自动跟踪定位射流灭火装置</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color w:val="000000" w:themeColor="text1"/>
                <w:sz w:val="18"/>
                <w:szCs w:val="18"/>
                <w:highlight w:val="none"/>
              </w:rPr>
              <w:t>ZDMS0.8/50S- 65/Ex</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36</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color w:val="000000" w:themeColor="text1"/>
                <w:sz w:val="18"/>
                <w:szCs w:val="18"/>
                <w:highlight w:val="none"/>
              </w:rPr>
              <w:t>防爆等级：ExdIIBT4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2</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防爆图像定位器</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36</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color w:val="000000" w:themeColor="text1"/>
                <w:sz w:val="18"/>
                <w:szCs w:val="18"/>
                <w:highlight w:val="none"/>
              </w:rPr>
              <w:t>防爆等级：ExdIICT6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马鞍式水流指示器</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DN100</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36</w:t>
            </w:r>
          </w:p>
        </w:tc>
        <w:tc>
          <w:tcPr>
            <w:tcW w:w="2255" w:type="dxa"/>
            <w:noWrap/>
            <w:vAlign w:val="center"/>
          </w:tcPr>
          <w:p>
            <w:pPr>
              <w:spacing w:line="360" w:lineRule="auto"/>
              <w:ind w:right="26"/>
              <w:rPr>
                <w:rFonts w:ascii="宋体" w:hAnsi="宋体" w:eastAsia="宋体" w:cs="Times New Roman"/>
                <w:color w:val="000000" w:themeColor="text1"/>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4</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图像火灾探测器</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探测距离80米</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72</w:t>
            </w:r>
          </w:p>
        </w:tc>
        <w:tc>
          <w:tcPr>
            <w:tcW w:w="2255" w:type="dxa"/>
            <w:noWrap/>
            <w:vAlign w:val="center"/>
          </w:tcPr>
          <w:p>
            <w:pPr>
              <w:spacing w:line="360" w:lineRule="auto"/>
              <w:ind w:right="26"/>
              <w:rPr>
                <w:rFonts w:ascii="宋体" w:hAnsi="宋体" w:eastAsia="宋体" w:cs="Times New Roman"/>
                <w:color w:val="000000" w:themeColor="text1"/>
                <w:sz w:val="18"/>
                <w:szCs w:val="18"/>
                <w:highlight w:val="none"/>
              </w:rPr>
            </w:pPr>
            <w:r>
              <w:rPr>
                <w:rFonts w:hint="eastAsia" w:ascii="宋体" w:hAnsi="宋体" w:eastAsia="宋体" w:cs="Times New Roman"/>
                <w:color w:val="000000" w:themeColor="text1"/>
                <w:sz w:val="18"/>
                <w:szCs w:val="18"/>
                <w:highlight w:val="none"/>
              </w:rPr>
              <w:t>防爆等级：ExdIICT6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5</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防爆现场手动控制箱（材质：304，IP65）</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36</w:t>
            </w:r>
          </w:p>
        </w:tc>
        <w:tc>
          <w:tcPr>
            <w:tcW w:w="2255" w:type="dxa"/>
            <w:noWrap/>
            <w:vAlign w:val="center"/>
          </w:tcPr>
          <w:p>
            <w:pPr>
              <w:spacing w:line="360" w:lineRule="auto"/>
              <w:ind w:right="28"/>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含防爆信号解码箱、控制模块等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6</w:t>
            </w:r>
          </w:p>
        </w:tc>
        <w:tc>
          <w:tcPr>
            <w:tcW w:w="283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防爆型消防炮专用电动阀</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color w:val="000000" w:themeColor="text1"/>
                <w:sz w:val="18"/>
                <w:szCs w:val="18"/>
                <w:highlight w:val="none"/>
              </w:rPr>
              <w:t>DN100/Ex,PN1.6MPa</w:t>
            </w: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36</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48" w:type="dxa"/>
            <w:gridSpan w:val="6"/>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二、消防集中控制中心设备部分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839" w:type="dxa"/>
            <w:noWrap/>
            <w:vAlign w:val="center"/>
          </w:tcPr>
          <w:p>
            <w:pPr>
              <w:spacing w:line="360" w:lineRule="auto"/>
              <w:rPr>
                <w:rFonts w:ascii="宋体" w:hAnsi="宋体" w:eastAsia="宋体" w:cs="Times New Roman"/>
                <w:color w:val="000000" w:themeColor="text1"/>
                <w:sz w:val="18"/>
                <w:szCs w:val="18"/>
                <w:highlight w:val="none"/>
              </w:rPr>
            </w:pPr>
            <w:r>
              <w:rPr>
                <w:rFonts w:hint="eastAsia" w:ascii="宋体" w:hAnsi="宋体" w:eastAsia="宋体" w:cs="Times New Roman"/>
                <w:color w:val="000000" w:themeColor="text1"/>
                <w:sz w:val="18"/>
                <w:szCs w:val="18"/>
                <w:highlight w:val="none"/>
              </w:rPr>
              <w:t>控制柜</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安装在输煤控制室内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2839" w:type="dxa"/>
            <w:noWrap/>
            <w:vAlign w:val="center"/>
          </w:tcPr>
          <w:p>
            <w:pPr>
              <w:spacing w:line="360" w:lineRule="auto"/>
              <w:rPr>
                <w:rFonts w:ascii="宋体" w:hAnsi="宋体" w:eastAsia="宋体" w:cs="宋体"/>
                <w:color w:val="000000" w:themeColor="text1"/>
                <w:sz w:val="18"/>
                <w:szCs w:val="18"/>
                <w:highlight w:val="none"/>
              </w:rPr>
            </w:pPr>
            <w:r>
              <w:rPr>
                <w:rFonts w:hint="eastAsia" w:ascii="宋体" w:hAnsi="宋体" w:eastAsia="宋体" w:cs="Times New Roman"/>
                <w:color w:val="000000" w:themeColor="text1"/>
                <w:sz w:val="18"/>
                <w:szCs w:val="18"/>
                <w:highlight w:val="none"/>
              </w:rPr>
              <w:t>视频管理主机</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套</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含监视、录像存储功能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2839" w:type="dxa"/>
            <w:noWrap/>
            <w:vAlign w:val="center"/>
          </w:tcPr>
          <w:p>
            <w:pPr>
              <w:spacing w:line="360" w:lineRule="auto"/>
              <w:rPr>
                <w:rFonts w:ascii="宋体" w:hAnsi="宋体" w:eastAsia="宋体" w:cs="Times New Roman"/>
                <w:color w:val="000000" w:themeColor="text1"/>
                <w:sz w:val="18"/>
                <w:szCs w:val="18"/>
                <w:highlight w:val="none"/>
              </w:rPr>
            </w:pPr>
            <w:r>
              <w:rPr>
                <w:rFonts w:hint="eastAsia" w:ascii="宋体" w:hAnsi="宋体" w:eastAsia="宋体" w:cs="Times New Roman"/>
                <w:color w:val="000000" w:themeColor="text1"/>
                <w:sz w:val="18"/>
                <w:szCs w:val="18"/>
                <w:highlight w:val="none"/>
              </w:rPr>
              <w:t>大空间报警控制</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套</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2839" w:type="dxa"/>
            <w:noWrap/>
            <w:vAlign w:val="center"/>
          </w:tcPr>
          <w:p>
            <w:pPr>
              <w:spacing w:line="360" w:lineRule="auto"/>
              <w:rPr>
                <w:rFonts w:ascii="宋体" w:hAnsi="宋体" w:eastAsia="宋体" w:cs="宋体"/>
                <w:color w:val="000000" w:themeColor="text1"/>
                <w:sz w:val="18"/>
                <w:szCs w:val="18"/>
                <w:highlight w:val="none"/>
              </w:rPr>
            </w:pPr>
            <w:r>
              <w:rPr>
                <w:rFonts w:hint="eastAsia" w:ascii="宋体" w:hAnsi="宋体" w:eastAsia="宋体" w:cs="Times New Roman"/>
                <w:color w:val="000000" w:themeColor="text1"/>
                <w:sz w:val="18"/>
                <w:szCs w:val="18"/>
                <w:highlight w:val="none"/>
              </w:rPr>
              <w:t>消防水炮集中控制器</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255" w:type="dxa"/>
            <w:noWrap/>
            <w:vAlign w:val="center"/>
          </w:tcPr>
          <w:p>
            <w:pPr>
              <w:spacing w:line="360" w:lineRule="auto"/>
              <w:ind w:right="28"/>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远程实现对水炮进行点对点纯手动水平和垂直定位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2839" w:type="dxa"/>
            <w:noWrap/>
            <w:vAlign w:val="center"/>
          </w:tcPr>
          <w:p>
            <w:pPr>
              <w:spacing w:line="360" w:lineRule="auto"/>
              <w:rPr>
                <w:rFonts w:ascii="宋体" w:hAnsi="宋体" w:eastAsia="宋体" w:cs="宋体"/>
                <w:color w:val="000000" w:themeColor="text1"/>
                <w:sz w:val="18"/>
                <w:szCs w:val="18"/>
                <w:highlight w:val="none"/>
              </w:rPr>
            </w:pPr>
            <w:r>
              <w:rPr>
                <w:rFonts w:hint="eastAsia" w:ascii="宋体" w:hAnsi="宋体" w:eastAsia="宋体" w:cs="Times New Roman"/>
                <w:color w:val="000000" w:themeColor="text1"/>
                <w:sz w:val="18"/>
                <w:szCs w:val="18"/>
                <w:highlight w:val="none"/>
              </w:rPr>
              <w:t>消防水炮电源/启泵控制盘</w:t>
            </w:r>
          </w:p>
        </w:tc>
        <w:tc>
          <w:tcPr>
            <w:tcW w:w="2279" w:type="dxa"/>
            <w:noWrap/>
            <w:vAlign w:val="center"/>
          </w:tcPr>
          <w:p>
            <w:pPr>
              <w:spacing w:line="360" w:lineRule="auto"/>
              <w:ind w:right="26"/>
              <w:rPr>
                <w:rFonts w:ascii="宋体" w:hAnsi="宋体" w:eastAsia="宋体" w:cs="Times New Roman"/>
                <w:bCs/>
                <w:color w:val="000000" w:themeColor="text1"/>
                <w:sz w:val="18"/>
                <w:szCs w:val="18"/>
                <w:highlight w:val="none"/>
              </w:rPr>
            </w:pPr>
          </w:p>
        </w:tc>
        <w:tc>
          <w:tcPr>
            <w:tcW w:w="72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台</w:t>
            </w:r>
          </w:p>
        </w:tc>
        <w:tc>
          <w:tcPr>
            <w:tcW w:w="87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1</w:t>
            </w:r>
          </w:p>
        </w:tc>
        <w:tc>
          <w:tcPr>
            <w:tcW w:w="2255"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安装于控制柜前面板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三</w:t>
            </w:r>
          </w:p>
        </w:tc>
        <w:tc>
          <w:tcPr>
            <w:tcW w:w="8968" w:type="dxa"/>
            <w:gridSpan w:val="5"/>
            <w:noWrap/>
            <w:vAlign w:val="center"/>
          </w:tcPr>
          <w:p>
            <w:pPr>
              <w:spacing w:line="360" w:lineRule="auto"/>
              <w:ind w:right="26"/>
              <w:rPr>
                <w:rFonts w:ascii="宋体" w:hAnsi="宋体" w:eastAsia="宋体" w:cs="Times New Roman"/>
                <w:bCs/>
                <w:color w:val="000000" w:themeColor="text1"/>
                <w:sz w:val="18"/>
                <w:szCs w:val="18"/>
                <w:highlight w:val="none"/>
              </w:rPr>
            </w:pPr>
            <w:r>
              <w:rPr>
                <w:rFonts w:hint="eastAsia" w:ascii="宋体" w:hAnsi="宋体" w:eastAsia="宋体" w:cs="Times New Roman"/>
                <w:bCs/>
                <w:color w:val="000000" w:themeColor="text1"/>
                <w:sz w:val="18"/>
                <w:szCs w:val="18"/>
                <w:highlight w:val="none"/>
              </w:rPr>
              <w:t>系统软件及满足整体系统功能必须的相关设施。</w:t>
            </w:r>
          </w:p>
        </w:tc>
      </w:tr>
    </w:tbl>
    <w:p>
      <w:pPr>
        <w:spacing w:line="360" w:lineRule="auto"/>
        <w:ind w:firstLine="561"/>
        <w:rPr>
          <w:rFonts w:ascii="宋体" w:hAnsi="宋体" w:eastAsia="宋体" w:cs="Times New Roman"/>
          <w:color w:val="000000" w:themeColor="text1"/>
          <w:sz w:val="24"/>
          <w:highlight w:val="none"/>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Pr>
        <w:shd w:val="clear" w:color="auto" w:fill="FFFFFF" w:themeFill="background1"/>
        <w:tabs>
          <w:tab w:val="left" w:pos="840"/>
        </w:tabs>
        <w:adjustRightInd w:val="0"/>
        <w:snapToGrid w:val="0"/>
        <w:spacing w:line="400" w:lineRule="exact"/>
        <w:ind w:firstLine="480" w:firstLineChars="20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lang w:eastAsia="zh-CN"/>
        </w:rPr>
        <w:t>投标方负责系统的完整性。</w:t>
      </w:r>
      <w:r>
        <w:rPr>
          <w:rFonts w:hint="eastAsia" w:ascii="Times New Roman" w:hAnsi="Times New Roman" w:cs="Times New Roman"/>
          <w:color w:val="000000" w:themeColor="text1"/>
          <w:sz w:val="24"/>
          <w:highlight w:val="none"/>
        </w:rPr>
        <w:t>本招标文件未涉及但又属于本系统正常运行必备的部分，由投标方无条件、无偿补齐，且不发生任何费用。</w:t>
      </w: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kern w:val="0"/>
          <w:sz w:val="28"/>
          <w:szCs w:val="28"/>
          <w:highlight w:val="none"/>
        </w:rPr>
      </w:pPr>
      <w:r>
        <w:rPr>
          <w:rFonts w:hint="eastAsia" w:ascii="Times New Roman" w:hAnsi="Times New Roman" w:cs="Times New Roman"/>
          <w:b/>
          <w:color w:val="000000" w:themeColor="text1"/>
          <w:sz w:val="28"/>
          <w:szCs w:val="28"/>
          <w:highlight w:val="none"/>
        </w:rPr>
        <w:t>五、</w:t>
      </w:r>
      <w:r>
        <w:rPr>
          <w:rFonts w:hint="eastAsia" w:ascii="Times New Roman" w:hAnsi="Times New Roman" w:cs="Times New Roman"/>
          <w:b/>
          <w:color w:val="000000" w:themeColor="text1"/>
          <w:kern w:val="0"/>
          <w:sz w:val="28"/>
          <w:szCs w:val="28"/>
          <w:highlight w:val="none"/>
        </w:rPr>
        <w:t>技术资料要求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（1） 投标方需提供如下资料，包括但不限于此：</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a).防爆型消防水炮需提供相关认证及合格证。</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b).设备产品说明书；消防产品检测报告；质量合格证；调试、维护说明书；安装要求等。</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（2） 投标方随机应提供施工、调试、试运、机组性能试验和运行维护所需的技术资料。包括但不限于以下项目：</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 xml:space="preserve">    安装、调试和试运、运行、维护、检修所需的详尽图纸和技术文件，包括设备总图、部件总图、分图和必要的零件图、计算资料以及各有关部件的配合尺寸、公差等要求。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 xml:space="preserve">    设备的安装、运行、维护、检修说明书，包括设备结构特点、安装检修程序和工艺要求、启动调试要领、运行操作规定和控制数据、定期检验和维护说明等。</w:t>
      </w: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sz w:val="28"/>
          <w:szCs w:val="28"/>
          <w:highlight w:val="none"/>
        </w:rPr>
      </w:pPr>
      <w:bookmarkStart w:id="43" w:name="_Toc436913128"/>
      <w:bookmarkStart w:id="44" w:name="_Toc450922643"/>
      <w:bookmarkStart w:id="45" w:name="_Toc484177693"/>
      <w:bookmarkStart w:id="46" w:name="_Toc388000753"/>
      <w:bookmarkStart w:id="47" w:name="_Toc462154246"/>
      <w:bookmarkStart w:id="48" w:name="_Toc462472996"/>
      <w:bookmarkStart w:id="49" w:name="_Toc396488846"/>
      <w:bookmarkStart w:id="50" w:name="_Toc455585948"/>
      <w:bookmarkStart w:id="51" w:name="_Toc462154162"/>
      <w:bookmarkStart w:id="52" w:name="_Toc534486225"/>
      <w:r>
        <w:rPr>
          <w:rFonts w:hint="eastAsia" w:ascii="Times New Roman" w:hAnsi="Times New Roman" w:cs="Times New Roman"/>
          <w:b/>
          <w:color w:val="000000" w:themeColor="text1"/>
          <w:sz w:val="28"/>
          <w:szCs w:val="28"/>
          <w:highlight w:val="none"/>
        </w:rPr>
        <w:t xml:space="preserve">六、 </w:t>
      </w:r>
      <w:r>
        <w:rPr>
          <w:rFonts w:ascii="Times New Roman" w:hAnsi="Times New Roman" w:cs="Times New Roman"/>
          <w:b/>
          <w:color w:val="000000" w:themeColor="text1"/>
          <w:sz w:val="28"/>
          <w:szCs w:val="28"/>
          <w:highlight w:val="none"/>
        </w:rPr>
        <w:t>调试及</w:t>
      </w:r>
      <w:bookmarkEnd w:id="43"/>
      <w:bookmarkEnd w:id="44"/>
      <w:bookmarkEnd w:id="45"/>
      <w:bookmarkEnd w:id="46"/>
      <w:bookmarkEnd w:id="47"/>
      <w:bookmarkEnd w:id="48"/>
      <w:bookmarkEnd w:id="49"/>
      <w:bookmarkEnd w:id="50"/>
      <w:bookmarkEnd w:id="51"/>
      <w:bookmarkEnd w:id="52"/>
      <w:r>
        <w:rPr>
          <w:rFonts w:ascii="Times New Roman" w:hAnsi="Times New Roman" w:cs="Times New Roman"/>
          <w:b/>
          <w:color w:val="000000" w:themeColor="text1"/>
          <w:sz w:val="28"/>
          <w:szCs w:val="28"/>
          <w:highlight w:val="none"/>
        </w:rPr>
        <w:t>培训要求</w:t>
      </w:r>
    </w:p>
    <w:p>
      <w:pPr>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（1）</w:t>
      </w:r>
      <w:r>
        <w:rPr>
          <w:rFonts w:hint="eastAsia" w:ascii="宋体" w:hAnsi="宋体"/>
          <w:color w:val="000000" w:themeColor="text1"/>
          <w:sz w:val="24"/>
          <w:highlight w:val="none"/>
        </w:rPr>
        <w:t>投标方负责</w:t>
      </w:r>
      <w:r>
        <w:rPr>
          <w:rFonts w:ascii="Times New Roman" w:hAnsi="Times New Roman" w:cs="Times New Roman"/>
          <w:color w:val="000000" w:themeColor="text1"/>
          <w:sz w:val="24"/>
          <w:szCs w:val="21"/>
          <w:highlight w:val="none"/>
        </w:rPr>
        <w:t>设备</w:t>
      </w:r>
      <w:r>
        <w:rPr>
          <w:rFonts w:hint="eastAsia" w:ascii="Times New Roman" w:hAnsi="Times New Roman" w:cs="Times New Roman"/>
          <w:color w:val="000000" w:themeColor="text1"/>
          <w:sz w:val="24"/>
          <w:szCs w:val="21"/>
          <w:highlight w:val="none"/>
        </w:rPr>
        <w:t>及材料</w:t>
      </w:r>
      <w:r>
        <w:rPr>
          <w:rFonts w:ascii="Times New Roman" w:hAnsi="Times New Roman" w:cs="Times New Roman"/>
          <w:color w:val="000000" w:themeColor="text1"/>
          <w:sz w:val="24"/>
          <w:szCs w:val="21"/>
          <w:highlight w:val="none"/>
        </w:rPr>
        <w:t>供货</w:t>
      </w:r>
      <w:r>
        <w:rPr>
          <w:rFonts w:hint="eastAsia" w:ascii="宋体" w:hAnsi="宋体"/>
          <w:color w:val="000000" w:themeColor="text1"/>
          <w:sz w:val="24"/>
          <w:highlight w:val="none"/>
        </w:rPr>
        <w:t>、指导安装、调试及招标方操作人员的技术培训。</w:t>
      </w:r>
    </w:p>
    <w:p>
      <w:pPr>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（2）</w:t>
      </w:r>
      <w:r>
        <w:rPr>
          <w:rFonts w:ascii="Times New Roman" w:hAnsi="Times New Roman" w:cs="Times New Roman"/>
          <w:color w:val="000000" w:themeColor="text1"/>
          <w:sz w:val="24"/>
          <w:highlight w:val="none"/>
        </w:rPr>
        <w:t>为了顺利进行设备的安装和正常运行，</w:t>
      </w:r>
      <w:r>
        <w:rPr>
          <w:rFonts w:hint="eastAsia" w:ascii="Times New Roman" w:hAnsi="Times New Roman" w:cs="Times New Roman"/>
          <w:color w:val="000000" w:themeColor="text1"/>
          <w:sz w:val="24"/>
          <w:highlight w:val="none"/>
        </w:rPr>
        <w:t>投标</w:t>
      </w:r>
      <w:r>
        <w:rPr>
          <w:rFonts w:ascii="Times New Roman" w:hAnsi="Times New Roman" w:cs="Times New Roman"/>
          <w:color w:val="000000" w:themeColor="text1"/>
          <w:sz w:val="24"/>
          <w:highlight w:val="none"/>
        </w:rPr>
        <w:t>方负责派遣技术熟练的专职技术人员到施工现场进行技术服务。</w:t>
      </w:r>
    </w:p>
    <w:p>
      <w:pPr>
        <w:spacing w:line="360" w:lineRule="auto"/>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（3）</w:t>
      </w:r>
      <w:r>
        <w:rPr>
          <w:rFonts w:ascii="Times New Roman" w:hAnsi="Times New Roman" w:cs="Times New Roman"/>
          <w:color w:val="000000" w:themeColor="text1"/>
          <w:sz w:val="24"/>
          <w:highlight w:val="none"/>
        </w:rPr>
        <w:t xml:space="preserve"> </w:t>
      </w:r>
      <w:r>
        <w:rPr>
          <w:rFonts w:hint="eastAsia" w:ascii="Times New Roman" w:hAnsi="Times New Roman" w:cs="Times New Roman"/>
          <w:color w:val="000000" w:themeColor="text1"/>
          <w:sz w:val="24"/>
          <w:highlight w:val="none"/>
        </w:rPr>
        <w:t>投标</w:t>
      </w:r>
      <w:r>
        <w:rPr>
          <w:rFonts w:ascii="Times New Roman" w:hAnsi="Times New Roman" w:cs="Times New Roman"/>
          <w:color w:val="000000" w:themeColor="text1"/>
          <w:sz w:val="24"/>
          <w:highlight w:val="none"/>
        </w:rPr>
        <w:t>方技术人员的实际人数、预计到达和离开合同设备现场的日期根据现场施工的实际进度由双方协商决定。</w:t>
      </w:r>
    </w:p>
    <w:p>
      <w:pPr>
        <w:spacing w:line="500" w:lineRule="exact"/>
        <w:rPr>
          <w:rFonts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rPr>
        <w:t>（4）投标</w:t>
      </w:r>
      <w:r>
        <w:rPr>
          <w:rFonts w:ascii="Times New Roman" w:hAnsi="Times New Roman" w:cs="Times New Roman"/>
          <w:color w:val="000000" w:themeColor="text1"/>
          <w:sz w:val="24"/>
          <w:highlight w:val="none"/>
        </w:rPr>
        <w:t>方负责整个系统的调试</w:t>
      </w:r>
      <w:r>
        <w:rPr>
          <w:rFonts w:hint="eastAsia" w:ascii="Times New Roman" w:hAnsi="Times New Roman" w:cs="Times New Roman"/>
          <w:color w:val="000000" w:themeColor="text1"/>
          <w:sz w:val="24"/>
          <w:highlight w:val="none"/>
        </w:rPr>
        <w:t>工作</w:t>
      </w:r>
      <w:r>
        <w:rPr>
          <w:rFonts w:ascii="Times New Roman" w:hAnsi="Times New Roman" w:cs="Times New Roman"/>
          <w:color w:val="000000" w:themeColor="text1"/>
          <w:sz w:val="24"/>
          <w:highlight w:val="none"/>
        </w:rPr>
        <w:t>，直到项目的正常运行。</w:t>
      </w:r>
    </w:p>
    <w:bookmarkEnd w:id="3"/>
    <w:bookmarkEnd w:id="4"/>
    <w:p>
      <w:pPr>
        <w:spacing w:line="360" w:lineRule="auto"/>
        <w:rPr>
          <w:rFonts w:ascii="Times New Roman" w:hAnsi="Times New Roman" w:cs="Times New Roman"/>
          <w:color w:val="000000" w:themeColor="text1"/>
          <w:sz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4" o:spid="_x0000_s4097"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path/>
          <v:fill on="f" focussize="0,0"/>
          <v:stroke on="f" joinstyle="miter"/>
          <v:imagedata o:title=""/>
          <o:lock v:ext="edit"/>
          <v:textbox inset="0mm,0mm,0mm,0mm" style="mso-fit-shape-to-text:t;">
            <w:txbxContent>
              <w:p>
                <w:pPr>
                  <w:pStyle w:val="10"/>
                  <w:jc w:val="center"/>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2C1"/>
    <w:rsid w:val="00021013"/>
    <w:rsid w:val="00030FAF"/>
    <w:rsid w:val="000400A7"/>
    <w:rsid w:val="0004086D"/>
    <w:rsid w:val="00054583"/>
    <w:rsid w:val="00057650"/>
    <w:rsid w:val="00075FD9"/>
    <w:rsid w:val="000900C8"/>
    <w:rsid w:val="0009096F"/>
    <w:rsid w:val="000911F6"/>
    <w:rsid w:val="000A7B0C"/>
    <w:rsid w:val="000C71B6"/>
    <w:rsid w:val="000D2D96"/>
    <w:rsid w:val="000F0C54"/>
    <w:rsid w:val="001169E7"/>
    <w:rsid w:val="00135A1C"/>
    <w:rsid w:val="001369DB"/>
    <w:rsid w:val="00152C10"/>
    <w:rsid w:val="00161363"/>
    <w:rsid w:val="0016292A"/>
    <w:rsid w:val="00171188"/>
    <w:rsid w:val="00172A27"/>
    <w:rsid w:val="001C1D01"/>
    <w:rsid w:val="001E4050"/>
    <w:rsid w:val="001E5E8B"/>
    <w:rsid w:val="001F0D51"/>
    <w:rsid w:val="001F4638"/>
    <w:rsid w:val="0022440A"/>
    <w:rsid w:val="00241DEE"/>
    <w:rsid w:val="0027513D"/>
    <w:rsid w:val="00275EA1"/>
    <w:rsid w:val="00293989"/>
    <w:rsid w:val="002A36FE"/>
    <w:rsid w:val="002B37B5"/>
    <w:rsid w:val="002B5197"/>
    <w:rsid w:val="002C0E5E"/>
    <w:rsid w:val="002E763F"/>
    <w:rsid w:val="002F3B66"/>
    <w:rsid w:val="002F59B5"/>
    <w:rsid w:val="002F7546"/>
    <w:rsid w:val="0030095A"/>
    <w:rsid w:val="003222C2"/>
    <w:rsid w:val="0033257A"/>
    <w:rsid w:val="00342F61"/>
    <w:rsid w:val="003565CF"/>
    <w:rsid w:val="00360A6B"/>
    <w:rsid w:val="00383FEF"/>
    <w:rsid w:val="0039788B"/>
    <w:rsid w:val="003A01C3"/>
    <w:rsid w:val="003B504F"/>
    <w:rsid w:val="003D222E"/>
    <w:rsid w:val="003E7FBB"/>
    <w:rsid w:val="003F15CF"/>
    <w:rsid w:val="003F5AC7"/>
    <w:rsid w:val="00437D2E"/>
    <w:rsid w:val="004538BD"/>
    <w:rsid w:val="004658EC"/>
    <w:rsid w:val="00493FBF"/>
    <w:rsid w:val="00496805"/>
    <w:rsid w:val="004B4966"/>
    <w:rsid w:val="004B5062"/>
    <w:rsid w:val="004C0893"/>
    <w:rsid w:val="004C3BF7"/>
    <w:rsid w:val="004C5FCB"/>
    <w:rsid w:val="004E6579"/>
    <w:rsid w:val="00502608"/>
    <w:rsid w:val="005036DA"/>
    <w:rsid w:val="0050464E"/>
    <w:rsid w:val="005106D4"/>
    <w:rsid w:val="00536B8A"/>
    <w:rsid w:val="00544CB9"/>
    <w:rsid w:val="005502D5"/>
    <w:rsid w:val="00592DDF"/>
    <w:rsid w:val="005E61D4"/>
    <w:rsid w:val="005F224F"/>
    <w:rsid w:val="005F4B89"/>
    <w:rsid w:val="00617BEE"/>
    <w:rsid w:val="00627F02"/>
    <w:rsid w:val="0065660D"/>
    <w:rsid w:val="00676704"/>
    <w:rsid w:val="00693534"/>
    <w:rsid w:val="006A42B9"/>
    <w:rsid w:val="006C4427"/>
    <w:rsid w:val="006C66D2"/>
    <w:rsid w:val="006D1256"/>
    <w:rsid w:val="006F2CA1"/>
    <w:rsid w:val="007070C4"/>
    <w:rsid w:val="00716A1D"/>
    <w:rsid w:val="007335D9"/>
    <w:rsid w:val="0074268C"/>
    <w:rsid w:val="007932A7"/>
    <w:rsid w:val="00793B72"/>
    <w:rsid w:val="007B0BA7"/>
    <w:rsid w:val="007B610C"/>
    <w:rsid w:val="00806F80"/>
    <w:rsid w:val="00815A9B"/>
    <w:rsid w:val="008341AE"/>
    <w:rsid w:val="00847A6B"/>
    <w:rsid w:val="00847E9D"/>
    <w:rsid w:val="00887D16"/>
    <w:rsid w:val="00896F01"/>
    <w:rsid w:val="008A0C7B"/>
    <w:rsid w:val="008A2838"/>
    <w:rsid w:val="008F01F5"/>
    <w:rsid w:val="0090555D"/>
    <w:rsid w:val="00931D57"/>
    <w:rsid w:val="00934826"/>
    <w:rsid w:val="009449C5"/>
    <w:rsid w:val="009757CA"/>
    <w:rsid w:val="009906A9"/>
    <w:rsid w:val="009C0C69"/>
    <w:rsid w:val="009F0120"/>
    <w:rsid w:val="009F0336"/>
    <w:rsid w:val="00A10817"/>
    <w:rsid w:val="00A131DF"/>
    <w:rsid w:val="00A134FA"/>
    <w:rsid w:val="00A30D25"/>
    <w:rsid w:val="00A32BD1"/>
    <w:rsid w:val="00A35606"/>
    <w:rsid w:val="00A629D2"/>
    <w:rsid w:val="00A926DA"/>
    <w:rsid w:val="00A93288"/>
    <w:rsid w:val="00A97FF6"/>
    <w:rsid w:val="00AA6766"/>
    <w:rsid w:val="00AC3485"/>
    <w:rsid w:val="00AE3CD8"/>
    <w:rsid w:val="00AE59DF"/>
    <w:rsid w:val="00AF506B"/>
    <w:rsid w:val="00B108E5"/>
    <w:rsid w:val="00B343D9"/>
    <w:rsid w:val="00B37998"/>
    <w:rsid w:val="00B4130D"/>
    <w:rsid w:val="00B46B4E"/>
    <w:rsid w:val="00B51697"/>
    <w:rsid w:val="00B665D0"/>
    <w:rsid w:val="00B91860"/>
    <w:rsid w:val="00BA0F1E"/>
    <w:rsid w:val="00BA59CB"/>
    <w:rsid w:val="00BA5DF5"/>
    <w:rsid w:val="00BB353A"/>
    <w:rsid w:val="00BB4BDC"/>
    <w:rsid w:val="00BC6E48"/>
    <w:rsid w:val="00BD7341"/>
    <w:rsid w:val="00BE3AAE"/>
    <w:rsid w:val="00BF3786"/>
    <w:rsid w:val="00C2149E"/>
    <w:rsid w:val="00C34715"/>
    <w:rsid w:val="00C35061"/>
    <w:rsid w:val="00C445D9"/>
    <w:rsid w:val="00C50977"/>
    <w:rsid w:val="00C517F4"/>
    <w:rsid w:val="00C552A2"/>
    <w:rsid w:val="00C62A46"/>
    <w:rsid w:val="00C65296"/>
    <w:rsid w:val="00C72C3C"/>
    <w:rsid w:val="00C76448"/>
    <w:rsid w:val="00C8432C"/>
    <w:rsid w:val="00C85510"/>
    <w:rsid w:val="00C91968"/>
    <w:rsid w:val="00CA2475"/>
    <w:rsid w:val="00CA282C"/>
    <w:rsid w:val="00CA2B38"/>
    <w:rsid w:val="00CB1601"/>
    <w:rsid w:val="00CD4C1A"/>
    <w:rsid w:val="00CE7791"/>
    <w:rsid w:val="00CE7FEA"/>
    <w:rsid w:val="00D0030E"/>
    <w:rsid w:val="00D02B1F"/>
    <w:rsid w:val="00D21267"/>
    <w:rsid w:val="00D3064C"/>
    <w:rsid w:val="00D37E27"/>
    <w:rsid w:val="00D464A8"/>
    <w:rsid w:val="00D53C0A"/>
    <w:rsid w:val="00D60A7D"/>
    <w:rsid w:val="00D73C03"/>
    <w:rsid w:val="00D76743"/>
    <w:rsid w:val="00DB7547"/>
    <w:rsid w:val="00DD1F5B"/>
    <w:rsid w:val="00DE4CB8"/>
    <w:rsid w:val="00E10259"/>
    <w:rsid w:val="00E14652"/>
    <w:rsid w:val="00E166E2"/>
    <w:rsid w:val="00E555DB"/>
    <w:rsid w:val="00E73A03"/>
    <w:rsid w:val="00EA4001"/>
    <w:rsid w:val="00EC1341"/>
    <w:rsid w:val="00EC5623"/>
    <w:rsid w:val="00EF1F8D"/>
    <w:rsid w:val="00F33080"/>
    <w:rsid w:val="00F55205"/>
    <w:rsid w:val="00F5656C"/>
    <w:rsid w:val="00F92CE8"/>
    <w:rsid w:val="00F945DC"/>
    <w:rsid w:val="00FB16D9"/>
    <w:rsid w:val="01102C0E"/>
    <w:rsid w:val="011A3824"/>
    <w:rsid w:val="02304C1E"/>
    <w:rsid w:val="028B0F59"/>
    <w:rsid w:val="02DD26E3"/>
    <w:rsid w:val="02DD2FBE"/>
    <w:rsid w:val="033A72A6"/>
    <w:rsid w:val="037176C5"/>
    <w:rsid w:val="037C525F"/>
    <w:rsid w:val="0500094B"/>
    <w:rsid w:val="050C1ED9"/>
    <w:rsid w:val="05B36DB2"/>
    <w:rsid w:val="06BD7302"/>
    <w:rsid w:val="08BB0840"/>
    <w:rsid w:val="09A1370A"/>
    <w:rsid w:val="0B944B47"/>
    <w:rsid w:val="0BFB7931"/>
    <w:rsid w:val="0C593D29"/>
    <w:rsid w:val="0D9643E2"/>
    <w:rsid w:val="0E417C0E"/>
    <w:rsid w:val="0E5B62B4"/>
    <w:rsid w:val="0E5E095D"/>
    <w:rsid w:val="0EC5697A"/>
    <w:rsid w:val="0EED7A61"/>
    <w:rsid w:val="0F1E7544"/>
    <w:rsid w:val="0F8A3A8B"/>
    <w:rsid w:val="0FE908DB"/>
    <w:rsid w:val="10055116"/>
    <w:rsid w:val="10796FDE"/>
    <w:rsid w:val="10E031FB"/>
    <w:rsid w:val="10F13232"/>
    <w:rsid w:val="11025693"/>
    <w:rsid w:val="110823E5"/>
    <w:rsid w:val="11F65518"/>
    <w:rsid w:val="12605215"/>
    <w:rsid w:val="12C76575"/>
    <w:rsid w:val="141E52F0"/>
    <w:rsid w:val="14AE4C51"/>
    <w:rsid w:val="14DD7AD0"/>
    <w:rsid w:val="14FA0805"/>
    <w:rsid w:val="15107EAA"/>
    <w:rsid w:val="15C664B9"/>
    <w:rsid w:val="16A01C95"/>
    <w:rsid w:val="16F222A3"/>
    <w:rsid w:val="17F01ED9"/>
    <w:rsid w:val="182517DE"/>
    <w:rsid w:val="182C17A9"/>
    <w:rsid w:val="19A02BDF"/>
    <w:rsid w:val="19B3729C"/>
    <w:rsid w:val="1A311256"/>
    <w:rsid w:val="1B840E79"/>
    <w:rsid w:val="1BB14739"/>
    <w:rsid w:val="1BF14AE2"/>
    <w:rsid w:val="1C336CF4"/>
    <w:rsid w:val="1E430D77"/>
    <w:rsid w:val="1EFA4F2D"/>
    <w:rsid w:val="1FB84F71"/>
    <w:rsid w:val="203523E3"/>
    <w:rsid w:val="20664070"/>
    <w:rsid w:val="20C447E8"/>
    <w:rsid w:val="212E65DA"/>
    <w:rsid w:val="21E151FC"/>
    <w:rsid w:val="21ED6154"/>
    <w:rsid w:val="228A70D0"/>
    <w:rsid w:val="22BC5330"/>
    <w:rsid w:val="23F81BF8"/>
    <w:rsid w:val="24DB0F77"/>
    <w:rsid w:val="24EC4AF3"/>
    <w:rsid w:val="255670F9"/>
    <w:rsid w:val="2617065E"/>
    <w:rsid w:val="26D01826"/>
    <w:rsid w:val="27F756C2"/>
    <w:rsid w:val="28490AC5"/>
    <w:rsid w:val="2A235934"/>
    <w:rsid w:val="2A650E38"/>
    <w:rsid w:val="2AA13F0E"/>
    <w:rsid w:val="2AD64646"/>
    <w:rsid w:val="2B31629B"/>
    <w:rsid w:val="2B6D4422"/>
    <w:rsid w:val="2B9C021B"/>
    <w:rsid w:val="2D2B3EF4"/>
    <w:rsid w:val="2D6854D4"/>
    <w:rsid w:val="2DBE5FBA"/>
    <w:rsid w:val="2F7E4B70"/>
    <w:rsid w:val="305D005B"/>
    <w:rsid w:val="31915719"/>
    <w:rsid w:val="31A513ED"/>
    <w:rsid w:val="3210314E"/>
    <w:rsid w:val="326B191D"/>
    <w:rsid w:val="33130007"/>
    <w:rsid w:val="33131E8B"/>
    <w:rsid w:val="334B2D69"/>
    <w:rsid w:val="33964895"/>
    <w:rsid w:val="34220773"/>
    <w:rsid w:val="34583F07"/>
    <w:rsid w:val="3463593F"/>
    <w:rsid w:val="34BA2498"/>
    <w:rsid w:val="34DA6DB3"/>
    <w:rsid w:val="358E6AC2"/>
    <w:rsid w:val="35F41131"/>
    <w:rsid w:val="364D1AB2"/>
    <w:rsid w:val="36AB745A"/>
    <w:rsid w:val="37941A01"/>
    <w:rsid w:val="37BC1E6F"/>
    <w:rsid w:val="38126884"/>
    <w:rsid w:val="390B1D84"/>
    <w:rsid w:val="3A3F1216"/>
    <w:rsid w:val="3AA33DD0"/>
    <w:rsid w:val="3AE07279"/>
    <w:rsid w:val="3B0C0981"/>
    <w:rsid w:val="3C022DA4"/>
    <w:rsid w:val="3CD479C5"/>
    <w:rsid w:val="3D9E5D78"/>
    <w:rsid w:val="3E8B292B"/>
    <w:rsid w:val="3EC24CAD"/>
    <w:rsid w:val="3F38542B"/>
    <w:rsid w:val="40064A00"/>
    <w:rsid w:val="40CB0281"/>
    <w:rsid w:val="41F65FA1"/>
    <w:rsid w:val="43733E9E"/>
    <w:rsid w:val="43B577A2"/>
    <w:rsid w:val="43DE63C2"/>
    <w:rsid w:val="44C820C9"/>
    <w:rsid w:val="44C8571B"/>
    <w:rsid w:val="45B45B68"/>
    <w:rsid w:val="466239A7"/>
    <w:rsid w:val="46844B32"/>
    <w:rsid w:val="46E046E0"/>
    <w:rsid w:val="470518CE"/>
    <w:rsid w:val="48437CA2"/>
    <w:rsid w:val="49056B24"/>
    <w:rsid w:val="494D0AD5"/>
    <w:rsid w:val="4996550B"/>
    <w:rsid w:val="49A20C06"/>
    <w:rsid w:val="49B00776"/>
    <w:rsid w:val="4B0E2342"/>
    <w:rsid w:val="4B405462"/>
    <w:rsid w:val="4BE75CC2"/>
    <w:rsid w:val="4C1C1521"/>
    <w:rsid w:val="4C1F0D79"/>
    <w:rsid w:val="4C9929BA"/>
    <w:rsid w:val="4E701051"/>
    <w:rsid w:val="4EA75356"/>
    <w:rsid w:val="4F217900"/>
    <w:rsid w:val="4F8D3500"/>
    <w:rsid w:val="50EE03A4"/>
    <w:rsid w:val="517C0A41"/>
    <w:rsid w:val="52A22684"/>
    <w:rsid w:val="52D32F81"/>
    <w:rsid w:val="53716AF0"/>
    <w:rsid w:val="543E5274"/>
    <w:rsid w:val="56EA6BDE"/>
    <w:rsid w:val="56F66874"/>
    <w:rsid w:val="575E02A1"/>
    <w:rsid w:val="58532C56"/>
    <w:rsid w:val="5931573D"/>
    <w:rsid w:val="598B474F"/>
    <w:rsid w:val="59C8403E"/>
    <w:rsid w:val="59E2049D"/>
    <w:rsid w:val="59FD4209"/>
    <w:rsid w:val="5A487437"/>
    <w:rsid w:val="5B2A4CEC"/>
    <w:rsid w:val="5B4F2FF0"/>
    <w:rsid w:val="5BC70A2F"/>
    <w:rsid w:val="5C210223"/>
    <w:rsid w:val="5C2A6EB6"/>
    <w:rsid w:val="5C6B4808"/>
    <w:rsid w:val="5D125434"/>
    <w:rsid w:val="5DAD0AC4"/>
    <w:rsid w:val="5F28261E"/>
    <w:rsid w:val="5F7E58AB"/>
    <w:rsid w:val="5FDD6470"/>
    <w:rsid w:val="60967DA8"/>
    <w:rsid w:val="60CA46DB"/>
    <w:rsid w:val="614028AD"/>
    <w:rsid w:val="622F6B07"/>
    <w:rsid w:val="62832366"/>
    <w:rsid w:val="62852998"/>
    <w:rsid w:val="62BB5F6E"/>
    <w:rsid w:val="63405731"/>
    <w:rsid w:val="63835349"/>
    <w:rsid w:val="63CB62EC"/>
    <w:rsid w:val="64A1558B"/>
    <w:rsid w:val="65433EC8"/>
    <w:rsid w:val="656B6ED8"/>
    <w:rsid w:val="658D3F2D"/>
    <w:rsid w:val="65C272DC"/>
    <w:rsid w:val="65E41E24"/>
    <w:rsid w:val="65F2283E"/>
    <w:rsid w:val="660B13B1"/>
    <w:rsid w:val="663D5516"/>
    <w:rsid w:val="6719013C"/>
    <w:rsid w:val="67436D8A"/>
    <w:rsid w:val="67EF36C5"/>
    <w:rsid w:val="68027D8C"/>
    <w:rsid w:val="688B301A"/>
    <w:rsid w:val="68A10546"/>
    <w:rsid w:val="6AAB7D5C"/>
    <w:rsid w:val="6C0D7958"/>
    <w:rsid w:val="6C1705E3"/>
    <w:rsid w:val="6DB4653E"/>
    <w:rsid w:val="6EE6387E"/>
    <w:rsid w:val="6FCC4EC8"/>
    <w:rsid w:val="7004059F"/>
    <w:rsid w:val="705C65C7"/>
    <w:rsid w:val="737417A3"/>
    <w:rsid w:val="740F18F8"/>
    <w:rsid w:val="746F6ED1"/>
    <w:rsid w:val="747D3A01"/>
    <w:rsid w:val="74F21446"/>
    <w:rsid w:val="756A21F9"/>
    <w:rsid w:val="75863413"/>
    <w:rsid w:val="767D6A17"/>
    <w:rsid w:val="76F352E4"/>
    <w:rsid w:val="774E274E"/>
    <w:rsid w:val="77E37D01"/>
    <w:rsid w:val="785E3E56"/>
    <w:rsid w:val="79A41A9E"/>
    <w:rsid w:val="7A2E2F23"/>
    <w:rsid w:val="7AF44C3C"/>
    <w:rsid w:val="7DCF7F26"/>
    <w:rsid w:val="7DFB1065"/>
    <w:rsid w:val="7E1D53A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ind w:firstLine="480" w:firstLineChars="200"/>
    </w:pPr>
    <w:rPr>
      <w:rFonts w:ascii="宋体" w:hAnsi="宋体"/>
      <w:sz w:val="24"/>
    </w:rPr>
  </w:style>
  <w:style w:type="paragraph" w:styleId="7">
    <w:name w:val="Plain Text"/>
    <w:basedOn w:val="1"/>
    <w:link w:val="25"/>
    <w:qFormat/>
    <w:uiPriority w:val="0"/>
    <w:rPr>
      <w:rFonts w:ascii="宋体" w:hAnsi="Courier New"/>
      <w:szCs w:val="20"/>
    </w:rPr>
  </w:style>
  <w:style w:type="paragraph" w:styleId="8">
    <w:name w:val="Date"/>
    <w:basedOn w:val="1"/>
    <w:next w:val="1"/>
    <w:link w:val="29"/>
    <w:qFormat/>
    <w:uiPriority w:val="0"/>
    <w:pPr>
      <w:ind w:left="100" w:leftChars="2500"/>
    </w:p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4"/>
    <w:qFormat/>
    <w:uiPriority w:val="0"/>
    <w:pPr>
      <w:spacing w:before="240" w:after="60"/>
      <w:jc w:val="center"/>
      <w:outlineLvl w:val="0"/>
    </w:pPr>
    <w:rPr>
      <w:rFonts w:ascii="Cambria" w:hAnsi="Cambria"/>
      <w:b/>
      <w:bCs/>
      <w:sz w:val="32"/>
      <w:szCs w:val="32"/>
    </w:rPr>
  </w:style>
  <w:style w:type="paragraph" w:customStyle="1" w:styleId="16">
    <w:name w:val="正文文本缩进 21"/>
    <w:basedOn w:val="1"/>
    <w:qFormat/>
    <w:uiPriority w:val="0"/>
    <w:pPr>
      <w:ind w:firstLine="560" w:firstLineChars="200"/>
    </w:pPr>
    <w:rPr>
      <w:kern w:val="0"/>
      <w:sz w:val="28"/>
    </w:rPr>
  </w:style>
  <w:style w:type="paragraph" w:customStyle="1" w:styleId="17">
    <w:name w:val="正文文本缩进1"/>
    <w:basedOn w:val="1"/>
    <w:qFormat/>
    <w:uiPriority w:val="0"/>
    <w:pPr>
      <w:ind w:firstLine="528"/>
    </w:pPr>
    <w:rPr>
      <w:kern w:val="0"/>
      <w:sz w:val="28"/>
    </w:rPr>
  </w:style>
  <w:style w:type="character" w:customStyle="1" w:styleId="18">
    <w:name w:val="font11"/>
    <w:qFormat/>
    <w:uiPriority w:val="0"/>
    <w:rPr>
      <w:rFonts w:hint="eastAsia" w:ascii="宋体" w:hAnsi="宋体" w:eastAsia="宋体" w:cs="宋体"/>
      <w:color w:val="000000"/>
      <w:sz w:val="24"/>
      <w:szCs w:val="24"/>
      <w:u w:val="none"/>
      <w:vertAlign w:val="superscript"/>
    </w:rPr>
  </w:style>
  <w:style w:type="paragraph" w:customStyle="1" w:styleId="19">
    <w:name w:val="列出段落1"/>
    <w:basedOn w:val="1"/>
    <w:unhideWhenUsed/>
    <w:qFormat/>
    <w:uiPriority w:val="99"/>
    <w:pPr>
      <w:ind w:firstLine="420" w:firstLineChars="200"/>
    </w:p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批注框文本 Char"/>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_Style 1"/>
    <w:basedOn w:val="1"/>
    <w:qFormat/>
    <w:uiPriority w:val="0"/>
    <w:pPr>
      <w:ind w:firstLine="420" w:firstLineChars="200"/>
    </w:pPr>
  </w:style>
  <w:style w:type="character" w:customStyle="1" w:styleId="24">
    <w:name w:val="标题 Char"/>
    <w:link w:val="13"/>
    <w:qFormat/>
    <w:uiPriority w:val="0"/>
    <w:rPr>
      <w:rFonts w:ascii="Cambria" w:hAnsi="Cambria" w:eastAsiaTheme="minorEastAsia" w:cstheme="minorBidi"/>
      <w:b/>
      <w:bCs/>
      <w:kern w:val="2"/>
      <w:sz w:val="32"/>
      <w:szCs w:val="32"/>
    </w:rPr>
  </w:style>
  <w:style w:type="character" w:customStyle="1" w:styleId="25">
    <w:name w:val="纯文本 Char"/>
    <w:link w:val="7"/>
    <w:qFormat/>
    <w:uiPriority w:val="0"/>
    <w:rPr>
      <w:rFonts w:ascii="宋体" w:hAnsi="Courier New" w:eastAsiaTheme="minorEastAsia" w:cstheme="minorBidi"/>
      <w:kern w:val="2"/>
      <w:sz w:val="21"/>
    </w:rPr>
  </w:style>
  <w:style w:type="character" w:customStyle="1" w:styleId="26">
    <w:name w:val="普通文字 Char Char Char Char Char Char Char Char Char Char Char Char Char Char"/>
    <w:link w:val="27"/>
    <w:qFormat/>
    <w:uiPriority w:val="0"/>
    <w:rPr>
      <w:kern w:val="2"/>
      <w:sz w:val="28"/>
      <w:szCs w:val="28"/>
    </w:rPr>
  </w:style>
  <w:style w:type="paragraph" w:customStyle="1" w:styleId="27">
    <w:name w:val="普通文字"/>
    <w:basedOn w:val="1"/>
    <w:link w:val="26"/>
    <w:qFormat/>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28">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29">
    <w:name w:val="日期 Char"/>
    <w:basedOn w:val="15"/>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53C86-CCEC-4523-835F-8AD19F83FE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818</Words>
  <Characters>4663</Characters>
  <Lines>38</Lines>
  <Paragraphs>10</Paragraphs>
  <TotalTime>1464</TotalTime>
  <ScaleCrop>false</ScaleCrop>
  <LinksUpToDate>false</LinksUpToDate>
  <CharactersWithSpaces>5471</CharactersWithSpaces>
  <Application>WPS Office_11.1.0.9820_F1E327BC-269C-435d-A152-05C5408002CA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2019-07-31T08:12:00Z</dcterms:created>
  <dc:creator>叶子</dc:creator>
  <cp:lastModifiedBy>Administrator</cp:lastModifiedBy>
  <cp:lastPrinted>2020-06-12T02:50:00Z</cp:lastPrinted>
  <dcterms:modified xsi:type="dcterms:W3CDTF">2020-07-29T23:43:07Z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2052-11.1.0.9820</vt:lpwstr>
  </property>
</Properties>
</file>