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0" w:firstLineChars="250"/>
        <w:rPr>
          <w:rFonts w:ascii="微软雅黑" w:hAnsi="微软雅黑" w:eastAsia="微软雅黑"/>
          <w:b/>
          <w:sz w:val="32"/>
          <w:szCs w:val="32"/>
        </w:rPr>
      </w:pPr>
      <w:r>
        <w:rPr>
          <w:rFonts w:hint="eastAsia" w:ascii="微软雅黑" w:hAnsi="微软雅黑" w:eastAsia="微软雅黑"/>
          <w:b/>
          <w:sz w:val="32"/>
          <w:szCs w:val="32"/>
        </w:rPr>
        <w:t>芜湖新兴铸管3号1280高炉炉缸多维侵蚀监测</w:t>
      </w:r>
    </w:p>
    <w:p>
      <w:pPr>
        <w:ind w:firstLine="2241" w:firstLineChars="700"/>
        <w:rPr>
          <w:rFonts w:ascii="微软雅黑" w:hAnsi="微软雅黑" w:eastAsia="微软雅黑"/>
          <w:b/>
          <w:sz w:val="32"/>
          <w:szCs w:val="32"/>
        </w:rPr>
      </w:pPr>
      <w:r>
        <w:rPr>
          <w:rFonts w:hint="eastAsia" w:ascii="微软雅黑" w:hAnsi="微软雅黑" w:eastAsia="微软雅黑"/>
          <w:b/>
          <w:sz w:val="32"/>
          <w:szCs w:val="32"/>
        </w:rPr>
        <w:t>智能分析专家系统技术要求</w:t>
      </w:r>
    </w:p>
    <w:p>
      <w:pPr>
        <w:spacing w:line="480" w:lineRule="auto"/>
        <w:ind w:right="-34" w:rightChars="-16"/>
        <w:rPr>
          <w:rFonts w:ascii="宋体" w:hAnsi="宋体"/>
          <w:b/>
          <w:sz w:val="25"/>
          <w:szCs w:val="25"/>
        </w:rPr>
      </w:pPr>
      <w:r>
        <w:rPr>
          <w:rFonts w:hint="eastAsia" w:ascii="宋体" w:hAnsi="宋体"/>
          <w:b/>
          <w:sz w:val="25"/>
          <w:szCs w:val="25"/>
        </w:rPr>
        <w:t>一、炉缸侵蚀模型检测点位数量要求（不少于）</w:t>
      </w:r>
    </w:p>
    <w:p>
      <w:pPr>
        <w:spacing w:line="480" w:lineRule="auto"/>
        <w:ind w:right="-34" w:rightChars="-16"/>
        <w:rPr>
          <w:rFonts w:ascii="宋体" w:hAnsi="宋体"/>
          <w:sz w:val="25"/>
          <w:szCs w:val="25"/>
        </w:rPr>
      </w:pPr>
      <w:r>
        <w:rPr>
          <w:rFonts w:hint="eastAsia" w:ascii="宋体" w:hAnsi="宋体"/>
          <w:sz w:val="25"/>
          <w:szCs w:val="25"/>
        </w:rPr>
        <w:t>1、炉底水冷管部位温度检测共37点；</w:t>
      </w:r>
    </w:p>
    <w:p>
      <w:pPr>
        <w:rPr>
          <w:rFonts w:ascii="宋体" w:hAnsi="宋体"/>
          <w:sz w:val="25"/>
          <w:szCs w:val="25"/>
        </w:rPr>
      </w:pPr>
      <w:r>
        <w:rPr>
          <w:rFonts w:hint="eastAsia" w:ascii="宋体" w:hAnsi="宋体"/>
          <w:sz w:val="25"/>
          <w:szCs w:val="25"/>
        </w:rPr>
        <w:t>2、1~3带冷却壁水温差检测288点；</w:t>
      </w:r>
    </w:p>
    <w:p>
      <w:pPr>
        <w:rPr>
          <w:rFonts w:ascii="宋体" w:hAnsi="宋体"/>
          <w:sz w:val="25"/>
          <w:szCs w:val="25"/>
        </w:rPr>
      </w:pPr>
      <w:r>
        <w:rPr>
          <w:rFonts w:hint="eastAsia" w:ascii="宋体" w:hAnsi="宋体"/>
          <w:sz w:val="25"/>
          <w:szCs w:val="25"/>
        </w:rPr>
        <w:t>3、炉缸1~3带炉壳（皮）温度检测67点；</w:t>
      </w:r>
    </w:p>
    <w:p>
      <w:pPr>
        <w:rPr>
          <w:rFonts w:ascii="宋体" w:hAnsi="宋体"/>
          <w:sz w:val="25"/>
          <w:szCs w:val="25"/>
        </w:rPr>
      </w:pPr>
      <w:r>
        <w:rPr>
          <w:rFonts w:hint="eastAsia" w:ascii="宋体" w:hAnsi="宋体"/>
          <w:sz w:val="25"/>
          <w:szCs w:val="25"/>
        </w:rPr>
        <w:t>4、流量检测点7点（炉底水冷管3处，八代冷却壁出水4处），以对炉底中心温度(封板上)检测点缺失进行补偿和校正；</w:t>
      </w:r>
    </w:p>
    <w:p>
      <w:pPr>
        <w:spacing w:line="480" w:lineRule="auto"/>
        <w:ind w:right="-34" w:rightChars="-16"/>
        <w:rPr>
          <w:rFonts w:ascii="宋体" w:hAnsi="宋体"/>
          <w:b/>
          <w:sz w:val="25"/>
          <w:szCs w:val="25"/>
        </w:rPr>
      </w:pPr>
      <w:r>
        <w:rPr>
          <w:rFonts w:hint="eastAsia" w:ascii="宋体" w:hAnsi="宋体"/>
          <w:b/>
          <w:sz w:val="25"/>
          <w:szCs w:val="25"/>
        </w:rPr>
        <w:t>二、炉缸多维侵蚀监测智能分析专家系统技术性能要求</w:t>
      </w:r>
    </w:p>
    <w:p>
      <w:pPr>
        <w:spacing w:line="480" w:lineRule="auto"/>
        <w:ind w:right="-34" w:rightChars="-16"/>
        <w:rPr>
          <w:rFonts w:ascii="宋体" w:hAnsi="宋体"/>
          <w:sz w:val="25"/>
          <w:szCs w:val="25"/>
        </w:rPr>
      </w:pPr>
      <w:r>
        <w:rPr>
          <w:rFonts w:hint="eastAsia" w:ascii="宋体" w:hAnsi="宋体"/>
          <w:sz w:val="25"/>
          <w:szCs w:val="25"/>
        </w:rPr>
        <w:t>（一）设备性能要求：</w:t>
      </w:r>
    </w:p>
    <w:p>
      <w:pPr>
        <w:spacing w:line="480" w:lineRule="auto"/>
        <w:ind w:right="-34" w:rightChars="-16"/>
        <w:rPr>
          <w:rFonts w:ascii="宋体" w:hAnsi="宋体"/>
          <w:sz w:val="25"/>
          <w:szCs w:val="25"/>
        </w:rPr>
      </w:pPr>
      <w:r>
        <w:rPr>
          <w:rFonts w:hint="eastAsia" w:ascii="宋体" w:hAnsi="宋体"/>
          <w:sz w:val="25"/>
          <w:szCs w:val="25"/>
        </w:rPr>
        <w:t>1、</w:t>
      </w:r>
      <w:r>
        <w:rPr>
          <w:rFonts w:ascii="宋体" w:hAnsi="宋体"/>
          <w:sz w:val="25"/>
          <w:szCs w:val="25"/>
        </w:rPr>
        <w:t>冷却壁的进/出水温度，测量精度为±0.0</w:t>
      </w:r>
      <w:r>
        <w:rPr>
          <w:rFonts w:hint="eastAsia" w:ascii="宋体" w:hAnsi="宋体"/>
          <w:sz w:val="25"/>
          <w:szCs w:val="25"/>
        </w:rPr>
        <w:t>2℃</w:t>
      </w:r>
      <w:r>
        <w:rPr>
          <w:rFonts w:ascii="宋体" w:hAnsi="宋体"/>
          <w:sz w:val="25"/>
          <w:szCs w:val="25"/>
        </w:rPr>
        <w:t>，测量范围为</w:t>
      </w:r>
      <w:r>
        <w:rPr>
          <w:rFonts w:hint="eastAsia" w:ascii="宋体" w:hAnsi="宋体"/>
          <w:sz w:val="25"/>
          <w:szCs w:val="25"/>
        </w:rPr>
        <w:t>-</w:t>
      </w:r>
      <w:r>
        <w:rPr>
          <w:rFonts w:ascii="宋体" w:hAnsi="宋体"/>
          <w:sz w:val="25"/>
          <w:szCs w:val="25"/>
        </w:rPr>
        <w:t>4</w:t>
      </w:r>
      <w:r>
        <w:rPr>
          <w:rFonts w:hint="eastAsia" w:ascii="宋体" w:hAnsi="宋体"/>
          <w:sz w:val="25"/>
          <w:szCs w:val="25"/>
        </w:rPr>
        <w:t>0℃</w:t>
      </w:r>
      <w:r>
        <w:rPr>
          <w:rFonts w:ascii="宋体" w:hAnsi="宋体"/>
          <w:sz w:val="25"/>
          <w:szCs w:val="25"/>
        </w:rPr>
        <w:t>～</w:t>
      </w:r>
      <w:r>
        <w:rPr>
          <w:rFonts w:hint="eastAsia" w:ascii="宋体" w:hAnsi="宋体"/>
          <w:sz w:val="25"/>
          <w:szCs w:val="25"/>
        </w:rPr>
        <w:t>1</w:t>
      </w:r>
      <w:r>
        <w:rPr>
          <w:rFonts w:ascii="宋体" w:hAnsi="宋体"/>
          <w:sz w:val="25"/>
          <w:szCs w:val="25"/>
        </w:rPr>
        <w:t>50</w:t>
      </w:r>
      <w:r>
        <w:rPr>
          <w:rFonts w:hint="eastAsia" w:ascii="宋体" w:hAnsi="宋体"/>
          <w:sz w:val="25"/>
          <w:szCs w:val="25"/>
        </w:rPr>
        <w:t>℃</w:t>
      </w:r>
      <w:r>
        <w:rPr>
          <w:rFonts w:ascii="宋体" w:hAnsi="宋体"/>
          <w:sz w:val="25"/>
          <w:szCs w:val="25"/>
        </w:rPr>
        <w:t>，水温差传感器的防护等级</w:t>
      </w:r>
      <w:bookmarkStart w:id="0" w:name="OLE_LINK22"/>
      <w:bookmarkStart w:id="1" w:name="OLE_LINK21"/>
      <w:r>
        <w:rPr>
          <w:rFonts w:ascii="宋体" w:hAnsi="宋体"/>
          <w:sz w:val="25"/>
          <w:szCs w:val="25"/>
        </w:rPr>
        <w:t>≥</w:t>
      </w:r>
      <w:bookmarkEnd w:id="0"/>
      <w:bookmarkEnd w:id="1"/>
      <w:r>
        <w:rPr>
          <w:rFonts w:ascii="宋体" w:hAnsi="宋体"/>
          <w:sz w:val="25"/>
          <w:szCs w:val="25"/>
        </w:rPr>
        <w:t>IP68；传输方式：无线传输；分辨率：0.0078℃；电池使用寿命：≥5年；</w:t>
      </w:r>
    </w:p>
    <w:p>
      <w:pPr>
        <w:adjustRightInd w:val="0"/>
        <w:snapToGrid w:val="0"/>
        <w:spacing w:line="480" w:lineRule="auto"/>
        <w:rPr>
          <w:rFonts w:ascii="宋体" w:hAnsi="宋体"/>
          <w:sz w:val="25"/>
          <w:szCs w:val="25"/>
        </w:rPr>
      </w:pPr>
      <w:r>
        <w:rPr>
          <w:rFonts w:hint="eastAsia" w:ascii="宋体" w:hAnsi="宋体"/>
          <w:sz w:val="25"/>
          <w:szCs w:val="25"/>
        </w:rPr>
        <w:t>2、流量计（甲供）技术参数：测量精度：±0.2%；内衬：聚四氟乙烯；防护等级：IP67；介质温度：0-80℃；信号输出：modbus rtu 通讯；电极：SUS316；公称压力：1.6MPa</w:t>
      </w:r>
    </w:p>
    <w:p>
      <w:pPr>
        <w:spacing w:line="480" w:lineRule="auto"/>
        <w:ind w:right="-34" w:rightChars="-16"/>
        <w:rPr>
          <w:rFonts w:ascii="宋体" w:hAnsi="宋体"/>
          <w:sz w:val="25"/>
          <w:szCs w:val="25"/>
        </w:rPr>
      </w:pPr>
      <w:r>
        <w:rPr>
          <w:rFonts w:hint="eastAsia" w:ascii="宋体" w:hAnsi="宋体"/>
          <w:sz w:val="25"/>
          <w:szCs w:val="25"/>
        </w:rPr>
        <w:t>2、设备组成</w:t>
      </w:r>
      <w:bookmarkStart w:id="3" w:name="_GoBack"/>
      <w:bookmarkEnd w:id="3"/>
      <w:r>
        <w:rPr>
          <w:rFonts w:hint="eastAsia" w:ascii="宋体" w:hAnsi="宋体"/>
          <w:sz w:val="25"/>
          <w:szCs w:val="25"/>
        </w:rPr>
        <w:t>：</w:t>
      </w:r>
    </w:p>
    <w:tbl>
      <w:tblPr>
        <w:tblStyle w:val="6"/>
        <w:tblW w:w="0" w:type="auto"/>
        <w:tblInd w:w="0" w:type="dxa"/>
        <w:tblLayout w:type="autofit"/>
        <w:tblCellMar>
          <w:top w:w="0" w:type="dxa"/>
          <w:left w:w="108" w:type="dxa"/>
          <w:bottom w:w="0" w:type="dxa"/>
          <w:right w:w="108" w:type="dxa"/>
        </w:tblCellMar>
      </w:tblPr>
      <w:tblGrid>
        <w:gridCol w:w="2614"/>
        <w:gridCol w:w="698"/>
        <w:gridCol w:w="3814"/>
        <w:gridCol w:w="698"/>
        <w:gridCol w:w="698"/>
      </w:tblGrid>
      <w:tr>
        <w:tblPrEx>
          <w:tblCellMar>
            <w:top w:w="0" w:type="dxa"/>
            <w:left w:w="108" w:type="dxa"/>
            <w:bottom w:w="0" w:type="dxa"/>
            <w:right w:w="108" w:type="dxa"/>
          </w:tblCellMar>
        </w:tblPrEx>
        <w:trPr>
          <w:trHeight w:val="561" w:hRule="atLeast"/>
        </w:trPr>
        <w:tc>
          <w:tcPr>
            <w:tcW w:w="0" w:type="auto"/>
            <w:tcBorders>
              <w:top w:val="single" w:color="auto" w:sz="4" w:space="0"/>
              <w:left w:val="single" w:color="auto" w:sz="4" w:space="0"/>
              <w:bottom w:val="single" w:color="auto" w:sz="4" w:space="0"/>
              <w:right w:val="single" w:color="auto" w:sz="4" w:space="0"/>
            </w:tcBorders>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系统组成</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序号　</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名      称</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单位</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hAnsi="宋体"/>
                <w:b/>
                <w:bCs/>
                <w:color w:val="000000"/>
                <w:kern w:val="0"/>
                <w:sz w:val="24"/>
                <w:szCs w:val="24"/>
              </w:rPr>
            </w:pPr>
            <w:r>
              <w:rPr>
                <w:rFonts w:hint="eastAsia" w:ascii="宋体" w:hAnsi="宋体"/>
                <w:b/>
                <w:bCs/>
                <w:color w:val="000000"/>
                <w:kern w:val="0"/>
                <w:sz w:val="24"/>
                <w:szCs w:val="24"/>
              </w:rPr>
              <w:t>数量</w:t>
            </w:r>
          </w:p>
        </w:tc>
      </w:tr>
      <w:tr>
        <w:tblPrEx>
          <w:tblCellMar>
            <w:top w:w="0" w:type="dxa"/>
            <w:left w:w="108" w:type="dxa"/>
            <w:bottom w:w="0" w:type="dxa"/>
            <w:right w:w="108" w:type="dxa"/>
          </w:tblCellMar>
        </w:tblPrEx>
        <w:trPr>
          <w:trHeight w:val="481" w:hRule="atLeast"/>
        </w:trPr>
        <w:tc>
          <w:tcPr>
            <w:tcW w:w="0" w:type="auto"/>
            <w:vMerge w:val="restart"/>
            <w:tcBorders>
              <w:top w:val="nil"/>
              <w:left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检/监测设备及材料</w:t>
            </w: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无线水温差传感器</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支</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301</w:t>
            </w:r>
          </w:p>
        </w:tc>
      </w:tr>
      <w:tr>
        <w:tblPrEx>
          <w:tblCellMar>
            <w:top w:w="0" w:type="dxa"/>
            <w:left w:w="108" w:type="dxa"/>
            <w:bottom w:w="0" w:type="dxa"/>
            <w:right w:w="108" w:type="dxa"/>
          </w:tblCellMar>
        </w:tblPrEx>
        <w:trPr>
          <w:trHeight w:val="481"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2</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无线水温差传感器（铁口专用）</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支</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24</w:t>
            </w:r>
          </w:p>
        </w:tc>
      </w:tr>
      <w:tr>
        <w:tblPrEx>
          <w:tblCellMar>
            <w:top w:w="0" w:type="dxa"/>
            <w:left w:w="108" w:type="dxa"/>
            <w:bottom w:w="0" w:type="dxa"/>
            <w:right w:w="108" w:type="dxa"/>
          </w:tblCellMar>
        </w:tblPrEx>
        <w:trPr>
          <w:trHeight w:val="46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3</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双密封球阀（含底座）</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支</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325</w:t>
            </w:r>
          </w:p>
        </w:tc>
      </w:tr>
      <w:tr>
        <w:tblPrEx>
          <w:tblCellMar>
            <w:top w:w="0" w:type="dxa"/>
            <w:left w:w="108" w:type="dxa"/>
            <w:bottom w:w="0" w:type="dxa"/>
            <w:right w:w="108" w:type="dxa"/>
          </w:tblCellMar>
        </w:tblPrEx>
        <w:trPr>
          <w:trHeight w:val="46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4</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无线炉壳测温传感器</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支</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59</w:t>
            </w:r>
          </w:p>
        </w:tc>
      </w:tr>
      <w:tr>
        <w:tblPrEx>
          <w:tblCellMar>
            <w:top w:w="0" w:type="dxa"/>
            <w:left w:w="108" w:type="dxa"/>
            <w:bottom w:w="0" w:type="dxa"/>
            <w:right w:w="108" w:type="dxa"/>
          </w:tblCellMar>
        </w:tblPrEx>
        <w:trPr>
          <w:trHeight w:val="46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5</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无线炉壳测温传感器（铁口专用）</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支</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8</w:t>
            </w:r>
          </w:p>
        </w:tc>
      </w:tr>
      <w:tr>
        <w:tblPrEx>
          <w:tblCellMar>
            <w:top w:w="0" w:type="dxa"/>
            <w:left w:w="108" w:type="dxa"/>
            <w:bottom w:w="0" w:type="dxa"/>
            <w:right w:w="108" w:type="dxa"/>
          </w:tblCellMar>
        </w:tblPrEx>
        <w:trPr>
          <w:trHeight w:val="46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6</w:t>
            </w:r>
          </w:p>
        </w:tc>
        <w:tc>
          <w:tcPr>
            <w:tcW w:w="0" w:type="auto"/>
            <w:tcBorders>
              <w:top w:val="nil"/>
              <w:left w:val="nil"/>
              <w:bottom w:val="single" w:color="auto" w:sz="4" w:space="0"/>
              <w:right w:val="single" w:color="auto" w:sz="4" w:space="0"/>
            </w:tcBorders>
            <w:vAlign w:val="center"/>
          </w:tcPr>
          <w:p>
            <w:pPr>
              <w:widowControl/>
              <w:spacing w:line="276" w:lineRule="auto"/>
              <w:jc w:val="center"/>
              <w:rPr>
                <w:rFonts w:ascii="宋体" w:hAnsi="宋体"/>
                <w:color w:val="000000"/>
                <w:kern w:val="0"/>
                <w:sz w:val="24"/>
                <w:szCs w:val="24"/>
              </w:rPr>
            </w:pPr>
            <w:r>
              <w:rPr>
                <w:rFonts w:hint="eastAsia" w:ascii="宋体" w:hAnsi="宋体"/>
                <w:color w:val="000000"/>
                <w:kern w:val="0"/>
                <w:sz w:val="24"/>
                <w:szCs w:val="24"/>
              </w:rPr>
              <w:t>无线智能采集终端</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8</w:t>
            </w:r>
          </w:p>
        </w:tc>
      </w:tr>
      <w:tr>
        <w:tblPrEx>
          <w:tblCellMar>
            <w:top w:w="0" w:type="dxa"/>
            <w:left w:w="108" w:type="dxa"/>
            <w:bottom w:w="0" w:type="dxa"/>
            <w:right w:w="108" w:type="dxa"/>
          </w:tblCellMar>
        </w:tblPrEx>
        <w:trPr>
          <w:trHeight w:val="46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7</w:t>
            </w:r>
          </w:p>
        </w:tc>
        <w:tc>
          <w:tcPr>
            <w:tcW w:w="0" w:type="auto"/>
            <w:tcBorders>
              <w:top w:val="nil"/>
              <w:left w:val="nil"/>
              <w:bottom w:val="single" w:color="auto" w:sz="4" w:space="0"/>
              <w:right w:val="single" w:color="auto" w:sz="4" w:space="0"/>
            </w:tcBorders>
            <w:vAlign w:val="center"/>
          </w:tcPr>
          <w:p>
            <w:pPr>
              <w:widowControl/>
              <w:spacing w:line="276" w:lineRule="auto"/>
              <w:jc w:val="center"/>
              <w:rPr>
                <w:rFonts w:ascii="宋体" w:hAnsi="宋体"/>
                <w:color w:val="000000"/>
                <w:kern w:val="0"/>
                <w:sz w:val="24"/>
                <w:szCs w:val="24"/>
              </w:rPr>
            </w:pPr>
            <w:r>
              <w:rPr>
                <w:rFonts w:hint="eastAsia" w:ascii="宋体" w:hAnsi="宋体"/>
                <w:color w:val="000000"/>
                <w:kern w:val="0"/>
                <w:sz w:val="24"/>
                <w:szCs w:val="24"/>
              </w:rPr>
              <w:t>无线智能采集终端保护箱</w:t>
            </w:r>
          </w:p>
        </w:tc>
        <w:tc>
          <w:tcPr>
            <w:tcW w:w="0" w:type="auto"/>
            <w:tcBorders>
              <w:top w:val="nil"/>
              <w:left w:val="nil"/>
              <w:bottom w:val="single" w:color="auto" w:sz="4" w:space="0"/>
              <w:right w:val="single" w:color="auto" w:sz="4" w:space="0"/>
            </w:tcBorders>
            <w:vAlign w:val="center"/>
          </w:tcPr>
          <w:p>
            <w:pPr>
              <w:widowControl/>
              <w:spacing w:line="520" w:lineRule="exact"/>
              <w:jc w:val="center"/>
              <w:textAlignment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spacing w:line="520" w:lineRule="exact"/>
              <w:jc w:val="center"/>
              <w:textAlignment w:val="center"/>
              <w:rPr>
                <w:rFonts w:ascii="宋体" w:hAnsi="宋体"/>
                <w:color w:val="000000"/>
                <w:kern w:val="0"/>
                <w:sz w:val="24"/>
                <w:szCs w:val="24"/>
              </w:rPr>
            </w:pPr>
            <w:r>
              <w:rPr>
                <w:rFonts w:hint="eastAsia" w:ascii="宋体" w:hAnsi="宋体"/>
                <w:color w:val="000000"/>
                <w:kern w:val="0"/>
                <w:sz w:val="24"/>
                <w:szCs w:val="24"/>
              </w:rPr>
              <w:t>8</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8</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耐高温电源线</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米</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500</w:t>
            </w:r>
          </w:p>
        </w:tc>
      </w:tr>
      <w:tr>
        <w:tblPrEx>
          <w:tblCellMar>
            <w:top w:w="0" w:type="dxa"/>
            <w:left w:w="108" w:type="dxa"/>
            <w:bottom w:w="0" w:type="dxa"/>
            <w:right w:w="108" w:type="dxa"/>
          </w:tblCellMar>
        </w:tblPrEx>
        <w:trPr>
          <w:trHeight w:val="422" w:hRule="atLeast"/>
        </w:trPr>
        <w:tc>
          <w:tcPr>
            <w:tcW w:w="0" w:type="auto"/>
            <w:vMerge w:val="continue"/>
            <w:tcBorders>
              <w:left w:val="single" w:color="auto" w:sz="4" w:space="0"/>
              <w:bottom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9</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耐高温屏蔽通讯线</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米</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800</w:t>
            </w:r>
          </w:p>
        </w:tc>
      </w:tr>
      <w:tr>
        <w:tblPrEx>
          <w:tblCellMar>
            <w:top w:w="0" w:type="dxa"/>
            <w:left w:w="108" w:type="dxa"/>
            <w:bottom w:w="0" w:type="dxa"/>
            <w:right w:w="108" w:type="dxa"/>
          </w:tblCellMar>
        </w:tblPrEx>
        <w:trPr>
          <w:trHeight w:val="422" w:hRule="atLeast"/>
        </w:trPr>
        <w:tc>
          <w:tcPr>
            <w:tcW w:w="0" w:type="auto"/>
            <w:tcBorders>
              <w:left w:val="single" w:color="auto" w:sz="4" w:space="0"/>
              <w:bottom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10</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流量计（甲方供）</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7</w:t>
            </w:r>
          </w:p>
        </w:tc>
      </w:tr>
      <w:tr>
        <w:tblPrEx>
          <w:tblCellMar>
            <w:top w:w="0" w:type="dxa"/>
            <w:left w:w="108" w:type="dxa"/>
            <w:bottom w:w="0" w:type="dxa"/>
            <w:right w:w="108" w:type="dxa"/>
          </w:tblCellMar>
        </w:tblPrEx>
        <w:trPr>
          <w:trHeight w:val="276" w:hRule="atLeast"/>
        </w:trPr>
        <w:tc>
          <w:tcPr>
            <w:tcW w:w="0" w:type="auto"/>
            <w:vMerge w:val="restart"/>
            <w:tcBorders>
              <w:top w:val="nil"/>
              <w:left w:val="single" w:color="auto" w:sz="4" w:space="0"/>
              <w:right w:val="single" w:color="auto" w:sz="4" w:space="0"/>
            </w:tcBorders>
          </w:tcPr>
          <w:p>
            <w:pPr>
              <w:widowControl/>
              <w:jc w:val="center"/>
              <w:rPr>
                <w:rFonts w:ascii="宋体" w:hAnsi="宋体"/>
                <w:color w:val="000000"/>
                <w:kern w:val="0"/>
                <w:sz w:val="24"/>
                <w:szCs w:val="24"/>
              </w:rPr>
            </w:pPr>
            <w:r>
              <w:rPr>
                <w:rFonts w:hint="eastAsia" w:ascii="宋体" w:hAnsi="宋体"/>
                <w:color w:val="000000"/>
                <w:kern w:val="0"/>
                <w:sz w:val="24"/>
                <w:szCs w:val="24"/>
              </w:rPr>
              <w:t>计算机集成及远程控制</w:t>
            </w: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10</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智能网关</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11</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232/485协议转换模块</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12</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24V稳压电源</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13</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工控机</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14</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显示器</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15</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220V稳压电源</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台</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276" w:hRule="atLeast"/>
        </w:trPr>
        <w:tc>
          <w:tcPr>
            <w:tcW w:w="0" w:type="auto"/>
            <w:vMerge w:val="continue"/>
            <w:tcBorders>
              <w:left w:val="single" w:color="auto" w:sz="4" w:space="0"/>
              <w:bottom w:val="single" w:color="auto" w:sz="4" w:space="0"/>
              <w:right w:val="single" w:color="auto" w:sz="4" w:space="0"/>
            </w:tcBorders>
          </w:tcPr>
          <w:p>
            <w:pPr>
              <w:widowControl/>
              <w:jc w:val="center"/>
              <w:rPr>
                <w:rFonts w:ascii="宋体" w:hAnsi="宋体"/>
                <w:color w:val="000000"/>
                <w:kern w:val="0"/>
                <w:sz w:val="24"/>
                <w:szCs w:val="24"/>
              </w:rPr>
            </w:pP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16</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远程监控设备</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套</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r>
        <w:tblPrEx>
          <w:tblCellMar>
            <w:top w:w="0" w:type="dxa"/>
            <w:left w:w="108" w:type="dxa"/>
            <w:bottom w:w="0" w:type="dxa"/>
            <w:right w:w="108" w:type="dxa"/>
          </w:tblCellMar>
        </w:tblPrEx>
        <w:trPr>
          <w:trHeight w:val="466" w:hRule="atLeast"/>
        </w:trPr>
        <w:tc>
          <w:tcPr>
            <w:tcW w:w="0" w:type="auto"/>
            <w:tcBorders>
              <w:top w:val="nil"/>
              <w:left w:val="single" w:color="auto" w:sz="4" w:space="0"/>
              <w:bottom w:val="single" w:color="auto" w:sz="4" w:space="0"/>
              <w:right w:val="single" w:color="auto" w:sz="4" w:space="0"/>
            </w:tcBorders>
          </w:tcPr>
          <w:p>
            <w:pPr>
              <w:widowControl/>
              <w:jc w:val="center"/>
              <w:rPr>
                <w:rFonts w:ascii="宋体" w:hAnsi="宋体"/>
                <w:color w:val="000000"/>
                <w:kern w:val="0"/>
                <w:sz w:val="24"/>
                <w:szCs w:val="24"/>
              </w:rPr>
            </w:pPr>
            <w:r>
              <w:rPr>
                <w:rFonts w:hint="eastAsia" w:ascii="宋体" w:hAnsi="宋体"/>
                <w:color w:val="000000"/>
                <w:kern w:val="0"/>
                <w:sz w:val="24"/>
                <w:szCs w:val="24"/>
              </w:rPr>
              <w:t>智能分析软件</w:t>
            </w:r>
          </w:p>
        </w:tc>
        <w:tc>
          <w:tcPr>
            <w:tcW w:w="0" w:type="auto"/>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17</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软件</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套</w:t>
            </w:r>
          </w:p>
        </w:tc>
        <w:tc>
          <w:tcPr>
            <w:tcW w:w="0" w:type="auto"/>
            <w:tcBorders>
              <w:top w:val="nil"/>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1</w:t>
            </w:r>
          </w:p>
        </w:tc>
      </w:tr>
    </w:tbl>
    <w:p>
      <w:pPr>
        <w:spacing w:line="480" w:lineRule="auto"/>
        <w:ind w:right="-34" w:rightChars="-16"/>
        <w:rPr>
          <w:rFonts w:ascii="宋体" w:hAnsi="宋体"/>
          <w:sz w:val="25"/>
          <w:szCs w:val="25"/>
        </w:rPr>
      </w:pPr>
      <w:r>
        <w:rPr>
          <w:rFonts w:hint="eastAsia" w:ascii="宋体" w:hAnsi="宋体"/>
          <w:sz w:val="25"/>
          <w:szCs w:val="25"/>
        </w:rPr>
        <w:t>（三）软件要求：</w:t>
      </w:r>
    </w:p>
    <w:p>
      <w:pPr>
        <w:adjustRightInd w:val="0"/>
        <w:snapToGrid w:val="0"/>
        <w:spacing w:line="480" w:lineRule="auto"/>
        <w:rPr>
          <w:sz w:val="25"/>
          <w:szCs w:val="25"/>
        </w:rPr>
      </w:pPr>
      <w:r>
        <w:rPr>
          <w:rFonts w:hint="eastAsia"/>
          <w:sz w:val="25"/>
          <w:szCs w:val="25"/>
        </w:rPr>
        <w:t>1、以热电偶圆周分布图、数据表格等形式实时显示每个测温点的温度，并可查询单个测温点或多个测温点的温度历史曲线；</w:t>
      </w:r>
    </w:p>
    <w:p>
      <w:pPr>
        <w:adjustRightInd w:val="0"/>
        <w:snapToGrid w:val="0"/>
        <w:spacing w:line="480" w:lineRule="auto"/>
        <w:rPr>
          <w:sz w:val="25"/>
          <w:szCs w:val="25"/>
        </w:rPr>
      </w:pPr>
      <w:r>
        <w:rPr>
          <w:rFonts w:hint="eastAsia"/>
          <w:sz w:val="25"/>
          <w:szCs w:val="25"/>
        </w:rPr>
        <w:t>2、实时采集炉缸区域温差温度监测点的冷却水温度、流量数据，以冷却壁展开图、数据表格等形式实时显示炉缸冷却壁的进水温度、出水温度、水流量、水温差、炉壳、热负荷，建立数据库，数据存储周期为一代炉役；</w:t>
      </w:r>
    </w:p>
    <w:p>
      <w:pPr>
        <w:adjustRightInd w:val="0"/>
        <w:snapToGrid w:val="0"/>
        <w:spacing w:line="480" w:lineRule="auto"/>
        <w:rPr>
          <w:sz w:val="25"/>
          <w:szCs w:val="25"/>
        </w:rPr>
      </w:pPr>
      <w:r>
        <w:rPr>
          <w:rFonts w:hint="eastAsia"/>
          <w:sz w:val="25"/>
          <w:szCs w:val="25"/>
        </w:rPr>
        <w:t>3、当水温差、水流量、炉壳、热负荷异常时系统自动发出预警（预警标准可以设定修改），预警记录存入数据库；</w:t>
      </w:r>
    </w:p>
    <w:p>
      <w:pPr>
        <w:adjustRightInd w:val="0"/>
        <w:snapToGrid w:val="0"/>
        <w:spacing w:line="480" w:lineRule="auto"/>
        <w:rPr>
          <w:sz w:val="25"/>
          <w:szCs w:val="25"/>
        </w:rPr>
      </w:pPr>
      <w:r>
        <w:rPr>
          <w:rFonts w:hint="eastAsia"/>
          <w:sz w:val="25"/>
          <w:szCs w:val="25"/>
        </w:rPr>
        <w:t>4、提供功能完善的历史数据查询功能，包括进水温度、出水温度、水流量、水温差、炉壳、热负荷、自动预警记录、设备故障记录查询，并提供统计报表功能，查询结果和统计报表可以导出或打印；</w:t>
      </w:r>
    </w:p>
    <w:p>
      <w:pPr>
        <w:adjustRightInd w:val="0"/>
        <w:snapToGrid w:val="0"/>
        <w:spacing w:line="480" w:lineRule="auto"/>
        <w:rPr>
          <w:rFonts w:ascii="宋体" w:hAnsi="宋体"/>
          <w:sz w:val="25"/>
          <w:szCs w:val="25"/>
        </w:rPr>
      </w:pPr>
      <w:r>
        <w:rPr>
          <w:rFonts w:hint="eastAsia" w:ascii="宋体" w:hAnsi="宋体"/>
          <w:sz w:val="25"/>
          <w:szCs w:val="25"/>
        </w:rPr>
        <w:t>5、实时采集各个耐材温度监测点的数据，以热电偶圆周分布图、数据表格等形式实时显示每个测温点的温度，建立数据库，数据存储周期为一代炉役；</w:t>
      </w:r>
    </w:p>
    <w:p>
      <w:pPr>
        <w:adjustRightInd w:val="0"/>
        <w:snapToGrid w:val="0"/>
        <w:spacing w:line="480" w:lineRule="auto"/>
        <w:rPr>
          <w:rFonts w:ascii="宋体" w:hAnsi="宋体"/>
          <w:sz w:val="25"/>
          <w:szCs w:val="25"/>
        </w:rPr>
      </w:pPr>
      <w:r>
        <w:rPr>
          <w:rFonts w:hint="eastAsia" w:ascii="宋体" w:hAnsi="宋体"/>
          <w:sz w:val="25"/>
          <w:szCs w:val="25"/>
        </w:rPr>
        <w:t>6、冷却壁进水温度、出水温度、水流量的自动采集、存储、显示和历史查询；</w:t>
      </w:r>
    </w:p>
    <w:p>
      <w:pPr>
        <w:adjustRightInd w:val="0"/>
        <w:snapToGrid w:val="0"/>
        <w:spacing w:line="480" w:lineRule="auto"/>
        <w:rPr>
          <w:rFonts w:ascii="宋体" w:hAnsi="宋体"/>
          <w:sz w:val="25"/>
          <w:szCs w:val="25"/>
        </w:rPr>
      </w:pPr>
      <w:r>
        <w:rPr>
          <w:rFonts w:hint="eastAsia" w:ascii="宋体" w:hAnsi="宋体"/>
          <w:sz w:val="25"/>
          <w:szCs w:val="25"/>
        </w:rPr>
        <w:t>7、冷却壁水温差、热负荷的自动计算、存储、显示和历史查询；</w:t>
      </w:r>
    </w:p>
    <w:p>
      <w:pPr>
        <w:adjustRightInd w:val="0"/>
        <w:snapToGrid w:val="0"/>
        <w:spacing w:line="480" w:lineRule="auto"/>
        <w:rPr>
          <w:rFonts w:ascii="宋体" w:hAnsi="宋体"/>
          <w:sz w:val="25"/>
          <w:szCs w:val="25"/>
        </w:rPr>
      </w:pPr>
      <w:r>
        <w:rPr>
          <w:rFonts w:hint="eastAsia" w:ascii="宋体" w:hAnsi="宋体"/>
          <w:sz w:val="25"/>
          <w:szCs w:val="25"/>
        </w:rPr>
        <w:t>8、对炉缸炉底进行三维网格划分、物理建模和数学建模，建立每个节点的三维非稳态传热微分控制方程，自动计算和求解炉缸炉底三维温度场、耐材侵蚀厚度、渣铁壳厚度以及每个坐标点的物理坐标、耐材类型、当前温度、耐材厚度、渣铁壳厚度；</w:t>
      </w:r>
    </w:p>
    <w:p>
      <w:pPr>
        <w:adjustRightInd w:val="0"/>
        <w:snapToGrid w:val="0"/>
        <w:spacing w:line="480" w:lineRule="auto"/>
        <w:rPr>
          <w:rFonts w:ascii="宋体" w:hAnsi="宋体"/>
          <w:sz w:val="25"/>
          <w:szCs w:val="25"/>
        </w:rPr>
      </w:pPr>
      <w:r>
        <w:rPr>
          <w:rFonts w:hint="eastAsia" w:ascii="宋体" w:hAnsi="宋体"/>
          <w:sz w:val="25"/>
          <w:szCs w:val="25"/>
        </w:rPr>
        <w:t>9、根据高炉工艺特点，设置不同位置温度监测点的预警标准，并通过图标颜色、文字提示等方式对各温度监测点温度单点超标情况进行自动预警；</w:t>
      </w:r>
    </w:p>
    <w:p>
      <w:pPr>
        <w:adjustRightInd w:val="0"/>
        <w:snapToGrid w:val="0"/>
        <w:spacing w:line="480" w:lineRule="auto"/>
        <w:rPr>
          <w:rFonts w:ascii="宋体" w:hAnsi="宋体"/>
          <w:sz w:val="25"/>
          <w:szCs w:val="25"/>
        </w:rPr>
      </w:pPr>
      <w:r>
        <w:rPr>
          <w:rFonts w:hint="eastAsia" w:ascii="宋体" w:hAnsi="宋体"/>
          <w:sz w:val="25"/>
          <w:szCs w:val="25"/>
        </w:rPr>
        <w:t>10、建立不同炉役阶段的数字化预警标准（工作标准、平衡标准、预警标准），对耐材异常加速侵蚀和砖衬厚度超限等情况进行自动预警；</w:t>
      </w:r>
    </w:p>
    <w:p>
      <w:pPr>
        <w:adjustRightInd w:val="0"/>
        <w:snapToGrid w:val="0"/>
        <w:spacing w:line="480" w:lineRule="auto"/>
        <w:rPr>
          <w:rFonts w:ascii="宋体" w:hAnsi="宋体"/>
          <w:sz w:val="25"/>
          <w:szCs w:val="25"/>
        </w:rPr>
      </w:pPr>
      <w:r>
        <w:rPr>
          <w:rFonts w:hint="eastAsia" w:ascii="宋体" w:hAnsi="宋体"/>
          <w:sz w:val="25"/>
          <w:szCs w:val="25"/>
        </w:rPr>
        <w:t>11、建立异常诊断知识库，对碳砖环裂、炉内气隙、炉缸不活跃等异常情况进行自动诊断和预警；</w:t>
      </w:r>
    </w:p>
    <w:p>
      <w:pPr>
        <w:adjustRightInd w:val="0"/>
        <w:snapToGrid w:val="0"/>
        <w:spacing w:line="480" w:lineRule="auto"/>
        <w:rPr>
          <w:rFonts w:ascii="宋体" w:hAnsi="宋体"/>
          <w:sz w:val="25"/>
          <w:szCs w:val="25"/>
        </w:rPr>
      </w:pPr>
      <w:r>
        <w:rPr>
          <w:rFonts w:hint="eastAsia" w:ascii="宋体" w:hAnsi="宋体"/>
          <w:sz w:val="25"/>
          <w:szCs w:val="25"/>
        </w:rPr>
        <w:t>12、自动绘制不同角度（纵剖面）的测温点布置图、等温线、温度场、侵蚀内型、渣铁壳形状，提供纵剖面动态切换（巡检）功能（该功能可通过功能按钮选择开启/关闭）；</w:t>
      </w:r>
    </w:p>
    <w:p>
      <w:pPr>
        <w:adjustRightInd w:val="0"/>
        <w:snapToGrid w:val="0"/>
        <w:spacing w:line="480" w:lineRule="auto"/>
        <w:rPr>
          <w:rFonts w:ascii="宋体" w:hAnsi="宋体"/>
          <w:sz w:val="25"/>
          <w:szCs w:val="25"/>
        </w:rPr>
      </w:pPr>
      <w:r>
        <w:rPr>
          <w:rFonts w:hint="eastAsia" w:ascii="宋体" w:hAnsi="宋体"/>
          <w:sz w:val="25"/>
          <w:szCs w:val="25"/>
        </w:rPr>
        <w:t>13、自动绘制不同标高（横剖图）的测温点布置图、等温线、温度场、侵蚀内型、渣铁壳形状，提供横剖面动态切换（巡检）功能（该功能可通过功能按钮选择开启/关闭）；</w:t>
      </w:r>
    </w:p>
    <w:p>
      <w:pPr>
        <w:adjustRightInd w:val="0"/>
        <w:snapToGrid w:val="0"/>
        <w:spacing w:line="480" w:lineRule="auto"/>
        <w:rPr>
          <w:rFonts w:ascii="宋体" w:hAnsi="宋体"/>
          <w:sz w:val="25"/>
          <w:szCs w:val="25"/>
        </w:rPr>
      </w:pPr>
      <w:r>
        <w:rPr>
          <w:rFonts w:hint="eastAsia" w:ascii="宋体" w:hAnsi="宋体"/>
          <w:sz w:val="25"/>
          <w:szCs w:val="25"/>
        </w:rPr>
        <w:t>14、提供测温点温度、等温线、温度云图、侵蚀内型、渣铁壳形状的历史查询功能（数据表格和历史曲线），查询结果可导出或打印；</w:t>
      </w:r>
    </w:p>
    <w:p>
      <w:pPr>
        <w:adjustRightInd w:val="0"/>
        <w:snapToGrid w:val="0"/>
        <w:spacing w:line="480" w:lineRule="auto"/>
        <w:rPr>
          <w:rFonts w:ascii="宋体" w:hAnsi="宋体"/>
          <w:sz w:val="25"/>
          <w:szCs w:val="25"/>
        </w:rPr>
      </w:pPr>
      <w:r>
        <w:rPr>
          <w:rFonts w:hint="eastAsia" w:ascii="宋体" w:hAnsi="宋体"/>
          <w:sz w:val="25"/>
          <w:szCs w:val="25"/>
        </w:rPr>
        <w:t>15、软件内嵌电子版的操作维护手册、使用说明书、测温点布置图、网络架构图、接线图等技术资料，技术资料可以导出或打印；</w:t>
      </w:r>
    </w:p>
    <w:p>
      <w:pPr>
        <w:adjustRightInd w:val="0"/>
        <w:snapToGrid w:val="0"/>
        <w:spacing w:line="480" w:lineRule="auto"/>
        <w:rPr>
          <w:rFonts w:ascii="宋体" w:hAnsi="宋体"/>
          <w:sz w:val="25"/>
          <w:szCs w:val="25"/>
        </w:rPr>
      </w:pPr>
      <w:r>
        <w:rPr>
          <w:rFonts w:hint="eastAsia" w:ascii="宋体" w:hAnsi="宋体"/>
          <w:sz w:val="25"/>
          <w:szCs w:val="25"/>
        </w:rPr>
        <w:t>16、提供OPC通信接口，在授权的情况下其它系统可通过以太网接口读取数据库；</w:t>
      </w:r>
    </w:p>
    <w:p>
      <w:pPr>
        <w:adjustRightInd w:val="0"/>
        <w:snapToGrid w:val="0"/>
        <w:spacing w:line="480" w:lineRule="auto"/>
        <w:rPr>
          <w:rFonts w:ascii="宋体" w:hAnsi="宋体"/>
          <w:sz w:val="25"/>
          <w:szCs w:val="25"/>
        </w:rPr>
      </w:pPr>
      <w:r>
        <w:rPr>
          <w:rFonts w:hint="eastAsia" w:ascii="宋体" w:hAnsi="宋体"/>
          <w:sz w:val="25"/>
          <w:szCs w:val="25"/>
        </w:rPr>
        <w:t>17、设计建立数据库，完整保存一代炉役的温度数据；</w:t>
      </w:r>
    </w:p>
    <w:p>
      <w:pPr>
        <w:adjustRightInd w:val="0"/>
        <w:snapToGrid w:val="0"/>
        <w:spacing w:line="480" w:lineRule="auto"/>
        <w:rPr>
          <w:rFonts w:ascii="宋体" w:hAnsi="宋体"/>
          <w:sz w:val="25"/>
          <w:szCs w:val="25"/>
        </w:rPr>
      </w:pPr>
      <w:r>
        <w:rPr>
          <w:rFonts w:hint="eastAsia" w:ascii="宋体" w:hAnsi="宋体"/>
          <w:sz w:val="25"/>
          <w:szCs w:val="25"/>
        </w:rPr>
        <w:t>18、</w:t>
      </w:r>
      <w:r>
        <w:rPr>
          <w:rFonts w:ascii="宋体" w:hAnsi="宋体"/>
          <w:sz w:val="25"/>
          <w:szCs w:val="25"/>
        </w:rPr>
        <w:t>冷却壁进水温度、出水温度的自动采集、水流量的自动</w:t>
      </w:r>
      <w:r>
        <w:rPr>
          <w:rFonts w:hint="eastAsia" w:ascii="宋体" w:hAnsi="宋体"/>
          <w:sz w:val="25"/>
          <w:szCs w:val="25"/>
        </w:rPr>
        <w:t>读取</w:t>
      </w:r>
      <w:r>
        <w:rPr>
          <w:rFonts w:ascii="宋体" w:hAnsi="宋体"/>
          <w:sz w:val="25"/>
          <w:szCs w:val="25"/>
        </w:rPr>
        <w:t>、存储、显示和历史查询；</w:t>
      </w:r>
    </w:p>
    <w:p>
      <w:pPr>
        <w:adjustRightInd w:val="0"/>
        <w:snapToGrid w:val="0"/>
        <w:spacing w:line="480" w:lineRule="auto"/>
        <w:rPr>
          <w:rFonts w:ascii="宋体" w:hAnsi="宋体"/>
          <w:sz w:val="25"/>
          <w:szCs w:val="25"/>
        </w:rPr>
      </w:pPr>
      <w:r>
        <w:rPr>
          <w:rFonts w:hint="eastAsia" w:ascii="宋体" w:hAnsi="宋体"/>
          <w:sz w:val="25"/>
          <w:szCs w:val="25"/>
        </w:rPr>
        <w:t>19、</w:t>
      </w:r>
      <w:r>
        <w:rPr>
          <w:rFonts w:ascii="宋体" w:hAnsi="宋体"/>
          <w:sz w:val="25"/>
          <w:szCs w:val="25"/>
        </w:rPr>
        <w:t>自动</w:t>
      </w:r>
      <w:r>
        <w:rPr>
          <w:rFonts w:hint="eastAsia" w:ascii="宋体" w:hAnsi="宋体"/>
          <w:sz w:val="25"/>
          <w:szCs w:val="25"/>
        </w:rPr>
        <w:t>描画</w:t>
      </w:r>
      <w:r>
        <w:rPr>
          <w:rFonts w:ascii="宋体" w:hAnsi="宋体"/>
          <w:sz w:val="25"/>
          <w:szCs w:val="25"/>
        </w:rPr>
        <w:t>冷却壁水温差、热负荷的趋势曲线；</w:t>
      </w:r>
    </w:p>
    <w:p>
      <w:pPr>
        <w:adjustRightInd w:val="0"/>
        <w:snapToGrid w:val="0"/>
        <w:spacing w:line="480" w:lineRule="auto"/>
        <w:rPr>
          <w:rFonts w:ascii="宋体" w:hAnsi="宋体"/>
          <w:sz w:val="25"/>
          <w:szCs w:val="25"/>
        </w:rPr>
      </w:pPr>
      <w:r>
        <w:rPr>
          <w:rFonts w:hint="eastAsia" w:ascii="宋体" w:hAnsi="宋体"/>
          <w:sz w:val="25"/>
          <w:szCs w:val="25"/>
        </w:rPr>
        <w:t>20、</w:t>
      </w:r>
      <w:r>
        <w:rPr>
          <w:rFonts w:ascii="宋体" w:hAnsi="宋体"/>
          <w:sz w:val="25"/>
          <w:szCs w:val="25"/>
        </w:rPr>
        <w:t>冷却壁水温差、</w:t>
      </w:r>
      <w:r>
        <w:rPr>
          <w:rFonts w:hint="eastAsia" w:ascii="宋体" w:hAnsi="宋体"/>
          <w:sz w:val="25"/>
          <w:szCs w:val="25"/>
        </w:rPr>
        <w:t>、炉壳、</w:t>
      </w:r>
      <w:r>
        <w:rPr>
          <w:rFonts w:ascii="宋体" w:hAnsi="宋体"/>
          <w:sz w:val="25"/>
          <w:szCs w:val="25"/>
        </w:rPr>
        <w:t>热负荷的预警标准设定、自动预</w:t>
      </w:r>
      <w:r>
        <w:rPr>
          <w:rFonts w:hint="eastAsia" w:ascii="宋体" w:hAnsi="宋体"/>
          <w:sz w:val="25"/>
          <w:szCs w:val="25"/>
        </w:rPr>
        <w:t>/报</w:t>
      </w:r>
      <w:r>
        <w:rPr>
          <w:rFonts w:ascii="宋体" w:hAnsi="宋体"/>
          <w:sz w:val="25"/>
          <w:szCs w:val="25"/>
        </w:rPr>
        <w:t>警和预</w:t>
      </w:r>
      <w:r>
        <w:rPr>
          <w:rFonts w:hint="eastAsia" w:ascii="宋体" w:hAnsi="宋体"/>
          <w:sz w:val="25"/>
          <w:szCs w:val="25"/>
        </w:rPr>
        <w:t>/报</w:t>
      </w:r>
      <w:r>
        <w:rPr>
          <w:rFonts w:ascii="宋体" w:hAnsi="宋体"/>
          <w:sz w:val="25"/>
          <w:szCs w:val="25"/>
        </w:rPr>
        <w:t>警记录查询；</w:t>
      </w:r>
    </w:p>
    <w:p>
      <w:pPr>
        <w:adjustRightInd w:val="0"/>
        <w:snapToGrid w:val="0"/>
        <w:spacing w:line="480" w:lineRule="auto"/>
        <w:rPr>
          <w:rFonts w:ascii="宋体" w:hAnsi="宋体"/>
          <w:sz w:val="25"/>
          <w:szCs w:val="25"/>
        </w:rPr>
      </w:pPr>
      <w:r>
        <w:rPr>
          <w:rFonts w:hint="eastAsia" w:ascii="宋体" w:hAnsi="宋体"/>
          <w:sz w:val="25"/>
          <w:szCs w:val="25"/>
        </w:rPr>
        <w:t>21、分钟、小时、天数据</w:t>
      </w:r>
      <w:r>
        <w:rPr>
          <w:rFonts w:ascii="宋体" w:hAnsi="宋体"/>
          <w:sz w:val="25"/>
          <w:szCs w:val="25"/>
        </w:rPr>
        <w:t>统计报表功能；</w:t>
      </w:r>
    </w:p>
    <w:p>
      <w:pPr>
        <w:adjustRightInd w:val="0"/>
        <w:snapToGrid w:val="0"/>
        <w:spacing w:line="480" w:lineRule="auto"/>
        <w:rPr>
          <w:rFonts w:ascii="宋体" w:hAnsi="宋体"/>
          <w:sz w:val="25"/>
          <w:szCs w:val="25"/>
        </w:rPr>
      </w:pPr>
      <w:r>
        <w:rPr>
          <w:rFonts w:hint="eastAsia" w:ascii="宋体" w:hAnsi="宋体"/>
          <w:sz w:val="25"/>
          <w:szCs w:val="25"/>
        </w:rPr>
        <w:t>22、</w:t>
      </w:r>
      <w:r>
        <w:rPr>
          <w:rFonts w:ascii="宋体" w:hAnsi="宋体"/>
          <w:sz w:val="25"/>
          <w:szCs w:val="25"/>
        </w:rPr>
        <w:t>图形、数据、报表的打印和输出功能；</w:t>
      </w:r>
    </w:p>
    <w:p>
      <w:pPr>
        <w:adjustRightInd w:val="0"/>
        <w:snapToGrid w:val="0"/>
        <w:spacing w:line="480" w:lineRule="auto"/>
        <w:rPr>
          <w:rFonts w:ascii="宋体" w:hAnsi="宋体"/>
          <w:sz w:val="25"/>
          <w:szCs w:val="25"/>
        </w:rPr>
      </w:pPr>
      <w:r>
        <w:rPr>
          <w:rFonts w:hint="eastAsia" w:ascii="宋体" w:hAnsi="宋体"/>
          <w:sz w:val="25"/>
          <w:szCs w:val="25"/>
        </w:rPr>
        <w:t>23、结合高炉相关设计图纸，对炉缸炉底砌筑结构、耐火材料种类及性能、热电偶布置方案，进行系统分析，精确建立物理模型，并根据电偶的布置方案合理划分计算剖面；</w:t>
      </w:r>
    </w:p>
    <w:p>
      <w:pPr>
        <w:adjustRightInd w:val="0"/>
        <w:snapToGrid w:val="0"/>
        <w:spacing w:line="480" w:lineRule="auto"/>
        <w:rPr>
          <w:rFonts w:ascii="宋体" w:hAnsi="宋体"/>
          <w:sz w:val="25"/>
          <w:szCs w:val="25"/>
        </w:rPr>
      </w:pPr>
      <w:r>
        <w:rPr>
          <w:rFonts w:hint="eastAsia" w:ascii="宋体" w:hAnsi="宋体"/>
          <w:sz w:val="25"/>
          <w:szCs w:val="25"/>
        </w:rPr>
        <w:t>24、基于精确物理模型，建立动态二维温度场计算，及温度云图绘制；</w:t>
      </w:r>
    </w:p>
    <w:p>
      <w:pPr>
        <w:adjustRightInd w:val="0"/>
        <w:snapToGrid w:val="0"/>
        <w:spacing w:line="480" w:lineRule="auto"/>
        <w:rPr>
          <w:rFonts w:ascii="宋体" w:hAnsi="宋体"/>
          <w:sz w:val="25"/>
          <w:szCs w:val="25"/>
        </w:rPr>
      </w:pPr>
      <w:r>
        <w:rPr>
          <w:rFonts w:hint="eastAsia" w:ascii="宋体" w:hAnsi="宋体"/>
          <w:sz w:val="25"/>
          <w:szCs w:val="25"/>
        </w:rPr>
        <w:t>25、耐材导热系数自动调整功能，更加符合高炉运行过程中耐材性能的变化规律；</w:t>
      </w:r>
    </w:p>
    <w:p>
      <w:pPr>
        <w:adjustRightInd w:val="0"/>
        <w:snapToGrid w:val="0"/>
        <w:spacing w:line="480" w:lineRule="auto"/>
        <w:rPr>
          <w:rFonts w:ascii="宋体" w:hAnsi="宋体"/>
          <w:sz w:val="25"/>
          <w:szCs w:val="25"/>
        </w:rPr>
      </w:pPr>
      <w:r>
        <w:rPr>
          <w:rFonts w:hint="eastAsia" w:ascii="宋体" w:hAnsi="宋体"/>
          <w:sz w:val="25"/>
          <w:szCs w:val="25"/>
        </w:rPr>
        <w:t>26、软件系统具有良好的人机界面，各类设置简单，充分考虑了系统的可扩展性、可靠性和可维护性；</w:t>
      </w:r>
    </w:p>
    <w:p>
      <w:pPr>
        <w:adjustRightInd w:val="0"/>
        <w:snapToGrid w:val="0"/>
        <w:spacing w:line="480" w:lineRule="auto"/>
        <w:rPr>
          <w:rFonts w:ascii="宋体" w:hAnsi="宋体"/>
          <w:sz w:val="25"/>
          <w:szCs w:val="25"/>
        </w:rPr>
      </w:pPr>
      <w:r>
        <w:rPr>
          <w:rFonts w:hint="eastAsia" w:ascii="宋体" w:hAnsi="宋体"/>
          <w:sz w:val="25"/>
          <w:szCs w:val="25"/>
        </w:rPr>
        <w:t>27、优先选用国家安全生产监督管理总局安全科技成果推广目录项目之《高炉炉缸侵蚀诊断与结构安全预警》选用的正版软件《</w:t>
      </w:r>
      <w:r>
        <w:rPr>
          <w:rFonts w:hint="eastAsia" w:ascii="宋体" w:hAnsi="宋体"/>
          <w:color w:val="000000"/>
          <w:kern w:val="0"/>
          <w:sz w:val="24"/>
          <w:szCs w:val="24"/>
        </w:rPr>
        <w:t>高炉炉缸多维侵蚀监测智能分析专家系统V3.0</w:t>
      </w:r>
      <w:r>
        <w:rPr>
          <w:rFonts w:hint="eastAsia" w:ascii="宋体" w:hAnsi="宋体"/>
          <w:sz w:val="25"/>
          <w:szCs w:val="25"/>
        </w:rPr>
        <w:t>》</w:t>
      </w:r>
    </w:p>
    <w:p>
      <w:pPr>
        <w:adjustRightInd w:val="0"/>
        <w:snapToGrid w:val="0"/>
        <w:spacing w:line="480" w:lineRule="auto"/>
        <w:rPr>
          <w:rFonts w:ascii="宋体" w:hAnsi="宋体"/>
          <w:sz w:val="25"/>
          <w:szCs w:val="25"/>
        </w:rPr>
      </w:pPr>
      <w:r>
        <w:rPr>
          <w:rFonts w:hint="eastAsia" w:ascii="宋体" w:hAnsi="宋体"/>
          <w:sz w:val="25"/>
          <w:szCs w:val="25"/>
        </w:rPr>
        <w:t>28、为保证公司多座高炉炉缸侵蚀模型海量数据处理的便利性和统一性，需利用最新的</w:t>
      </w:r>
      <w:r>
        <w:rPr>
          <w:rFonts w:ascii="宋体" w:hAnsi="宋体"/>
          <w:sz w:val="25"/>
          <w:szCs w:val="25"/>
        </w:rPr>
        <w:t>信息化</w:t>
      </w:r>
      <w:r>
        <w:rPr>
          <w:rFonts w:hint="eastAsia" w:ascii="宋体" w:hAnsi="宋体"/>
          <w:sz w:val="25"/>
          <w:szCs w:val="25"/>
        </w:rPr>
        <w:t>、</w:t>
      </w:r>
      <w:r>
        <w:rPr>
          <w:rFonts w:ascii="宋体" w:hAnsi="宋体"/>
          <w:sz w:val="25"/>
          <w:szCs w:val="25"/>
        </w:rPr>
        <w:t>智能化、大数据技术</w:t>
      </w:r>
      <w:r>
        <w:rPr>
          <w:rFonts w:hint="eastAsia" w:ascii="宋体" w:hAnsi="宋体"/>
          <w:sz w:val="25"/>
          <w:szCs w:val="25"/>
        </w:rPr>
        <w:t>与原</w:t>
      </w:r>
      <w:r>
        <w:rPr>
          <w:rFonts w:ascii="宋体" w:hAnsi="宋体"/>
          <w:sz w:val="25"/>
          <w:szCs w:val="25"/>
        </w:rPr>
        <w:t>高炉安全运维大数据分析中心</w:t>
      </w:r>
      <w:r>
        <w:rPr>
          <w:rFonts w:hint="eastAsia" w:ascii="宋体" w:hAnsi="宋体"/>
          <w:sz w:val="25"/>
          <w:szCs w:val="25"/>
        </w:rPr>
        <w:t>实现无缝对接</w:t>
      </w:r>
      <w:r>
        <w:rPr>
          <w:rFonts w:ascii="宋体" w:hAnsi="宋体"/>
          <w:sz w:val="25"/>
          <w:szCs w:val="25"/>
        </w:rPr>
        <w:t>，实现对各个</w:t>
      </w:r>
      <w:r>
        <w:rPr>
          <w:rFonts w:hint="eastAsia" w:ascii="宋体" w:hAnsi="宋体"/>
          <w:sz w:val="25"/>
          <w:szCs w:val="25"/>
        </w:rPr>
        <w:t>高炉侵蚀模型</w:t>
      </w:r>
      <w:r>
        <w:rPr>
          <w:rFonts w:ascii="宋体" w:hAnsi="宋体"/>
          <w:sz w:val="25"/>
          <w:szCs w:val="25"/>
        </w:rPr>
        <w:t>现场数据的全面实时采集、分析</w:t>
      </w:r>
      <w:r>
        <w:rPr>
          <w:rFonts w:hint="eastAsia" w:ascii="宋体" w:hAnsi="宋体"/>
          <w:sz w:val="25"/>
          <w:szCs w:val="25"/>
        </w:rPr>
        <w:t>、</w:t>
      </w:r>
      <w:r>
        <w:rPr>
          <w:rFonts w:ascii="宋体" w:hAnsi="宋体"/>
          <w:sz w:val="25"/>
          <w:szCs w:val="25"/>
        </w:rPr>
        <w:t>诊断实现对高炉炉缸炉底碳砖</w:t>
      </w:r>
      <w:r>
        <w:rPr>
          <w:rFonts w:hint="eastAsia" w:ascii="宋体" w:hAnsi="宋体"/>
          <w:sz w:val="25"/>
          <w:szCs w:val="25"/>
        </w:rPr>
        <w:t>状态</w:t>
      </w:r>
      <w:r>
        <w:rPr>
          <w:rFonts w:ascii="宋体" w:hAnsi="宋体"/>
          <w:sz w:val="25"/>
          <w:szCs w:val="25"/>
        </w:rPr>
        <w:t>的远程诊断与分析，根据诊断结果，提供可供参考的操作建议，以延长高炉使用寿命，达到增产、增效、高炉安全停炉</w:t>
      </w:r>
      <w:r>
        <w:rPr>
          <w:rFonts w:hint="eastAsia" w:ascii="宋体" w:hAnsi="宋体"/>
          <w:sz w:val="25"/>
          <w:szCs w:val="25"/>
        </w:rPr>
        <w:t>的</w:t>
      </w:r>
      <w:r>
        <w:rPr>
          <w:rFonts w:ascii="宋体" w:hAnsi="宋体"/>
          <w:sz w:val="25"/>
          <w:szCs w:val="25"/>
        </w:rPr>
        <w:t>目标。</w:t>
      </w:r>
    </w:p>
    <w:p>
      <w:pPr>
        <w:adjustRightInd w:val="0"/>
        <w:snapToGrid w:val="0"/>
        <w:spacing w:line="480" w:lineRule="auto"/>
        <w:rPr>
          <w:rFonts w:ascii="宋体" w:hAnsi="宋体"/>
          <w:sz w:val="25"/>
          <w:szCs w:val="25"/>
        </w:rPr>
      </w:pPr>
      <w:r>
        <w:rPr>
          <w:rFonts w:hint="eastAsia" w:ascii="宋体" w:hAnsi="宋体"/>
          <w:sz w:val="25"/>
          <w:szCs w:val="25"/>
        </w:rPr>
        <w:t>公司高炉安全运维大数据分析中心服务器IP:223.100.198.140</w:t>
      </w:r>
    </w:p>
    <w:p>
      <w:pPr>
        <w:adjustRightInd w:val="0"/>
        <w:snapToGrid w:val="0"/>
        <w:spacing w:line="480" w:lineRule="auto"/>
        <w:rPr>
          <w:rFonts w:ascii="宋体" w:hAnsi="宋体"/>
          <w:sz w:val="25"/>
          <w:szCs w:val="25"/>
        </w:rPr>
      </w:pPr>
      <w:r>
        <w:rPr>
          <w:rFonts w:hint="eastAsia" w:ascii="宋体" w:hAnsi="宋体"/>
          <w:sz w:val="25"/>
          <w:szCs w:val="25"/>
        </w:rPr>
        <w:t>29、系统提供针对</w:t>
      </w:r>
      <w:r>
        <w:rPr>
          <w:rFonts w:ascii="宋体" w:hAnsi="宋体"/>
          <w:sz w:val="25"/>
          <w:szCs w:val="25"/>
        </w:rPr>
        <w:t>高炉</w:t>
      </w:r>
      <w:r>
        <w:rPr>
          <w:rFonts w:hint="eastAsia" w:ascii="宋体" w:hAnsi="宋体"/>
          <w:sz w:val="25"/>
          <w:szCs w:val="25"/>
        </w:rPr>
        <w:t>炉缸侵蚀智能分析</w:t>
      </w:r>
      <w:r>
        <w:rPr>
          <w:rFonts w:ascii="宋体" w:hAnsi="宋体"/>
          <w:sz w:val="25"/>
          <w:szCs w:val="25"/>
        </w:rPr>
        <w:t>专家</w:t>
      </w:r>
      <w:r>
        <w:rPr>
          <w:rFonts w:hint="eastAsia" w:ascii="宋体" w:hAnsi="宋体"/>
          <w:sz w:val="25"/>
          <w:szCs w:val="25"/>
        </w:rPr>
        <w:t>使用的</w:t>
      </w:r>
      <w:r>
        <w:rPr>
          <w:rFonts w:ascii="宋体" w:hAnsi="宋体"/>
          <w:sz w:val="25"/>
          <w:szCs w:val="25"/>
        </w:rPr>
        <w:t>专用手机APP</w:t>
      </w:r>
      <w:r>
        <w:rPr>
          <w:rFonts w:hint="eastAsia" w:ascii="宋体" w:hAnsi="宋体"/>
          <w:sz w:val="25"/>
          <w:szCs w:val="25"/>
        </w:rPr>
        <w:t>软件</w:t>
      </w:r>
      <w:r>
        <w:rPr>
          <w:rFonts w:ascii="宋体" w:hAnsi="宋体"/>
          <w:sz w:val="25"/>
          <w:szCs w:val="25"/>
        </w:rPr>
        <w:t>，</w:t>
      </w:r>
      <w:r>
        <w:rPr>
          <w:rFonts w:hint="eastAsia" w:ascii="宋体" w:hAnsi="宋体"/>
          <w:sz w:val="25"/>
          <w:szCs w:val="25"/>
        </w:rPr>
        <w:t>对</w:t>
      </w:r>
      <w:r>
        <w:rPr>
          <w:rFonts w:ascii="宋体" w:hAnsi="宋体"/>
          <w:sz w:val="25"/>
          <w:szCs w:val="25"/>
        </w:rPr>
        <w:t>运维平台,集数据监测、报警分析、设备巡检、报表查询等功能，实现完整的移动智能运维体验</w:t>
      </w:r>
      <w:r>
        <w:rPr>
          <w:rFonts w:hint="eastAsia" w:ascii="宋体" w:hAnsi="宋体"/>
          <w:sz w:val="25"/>
          <w:szCs w:val="25"/>
        </w:rPr>
        <w:t>。</w:t>
      </w:r>
    </w:p>
    <w:p>
      <w:pPr>
        <w:adjustRightInd w:val="0"/>
        <w:snapToGrid w:val="0"/>
        <w:spacing w:line="480" w:lineRule="auto"/>
        <w:rPr>
          <w:rFonts w:ascii="宋体" w:hAnsi="宋体"/>
          <w:sz w:val="25"/>
          <w:szCs w:val="25"/>
        </w:rPr>
      </w:pPr>
      <w:r>
        <w:rPr>
          <w:rFonts w:hint="eastAsia" w:ascii="宋体" w:hAnsi="宋体"/>
          <w:sz w:val="25"/>
          <w:szCs w:val="25"/>
        </w:rPr>
        <w:t>（四）施工及资质要求</w:t>
      </w:r>
    </w:p>
    <w:p>
      <w:pPr>
        <w:adjustRightInd w:val="0"/>
        <w:snapToGrid w:val="0"/>
        <w:spacing w:line="480" w:lineRule="auto"/>
        <w:rPr>
          <w:rFonts w:ascii="宋体" w:hAnsi="宋体"/>
          <w:sz w:val="25"/>
          <w:szCs w:val="25"/>
        </w:rPr>
      </w:pPr>
      <w:r>
        <w:rPr>
          <w:rFonts w:hint="eastAsia" w:ascii="宋体" w:hAnsi="宋体"/>
          <w:sz w:val="25"/>
          <w:szCs w:val="25"/>
        </w:rPr>
        <w:t>1、</w:t>
      </w:r>
      <w:r>
        <w:rPr>
          <w:rFonts w:ascii="宋体" w:hAnsi="宋体"/>
          <w:sz w:val="25"/>
          <w:szCs w:val="25"/>
        </w:rPr>
        <w:t>可</w:t>
      </w:r>
      <w:r>
        <w:rPr>
          <w:rFonts w:hint="eastAsia" w:ascii="宋体" w:hAnsi="宋体"/>
          <w:sz w:val="25"/>
          <w:szCs w:val="25"/>
        </w:rPr>
        <w:t>冷却壁水管探头安装必须</w:t>
      </w:r>
      <w:r>
        <w:rPr>
          <w:rFonts w:ascii="宋体" w:hAnsi="宋体"/>
          <w:sz w:val="25"/>
          <w:szCs w:val="25"/>
        </w:rPr>
        <w:t>带压开孔、安装；</w:t>
      </w:r>
    </w:p>
    <w:p>
      <w:pPr>
        <w:adjustRightInd w:val="0"/>
        <w:snapToGrid w:val="0"/>
        <w:spacing w:line="480" w:lineRule="auto"/>
        <w:rPr>
          <w:rFonts w:ascii="宋体" w:hAnsi="宋体"/>
          <w:sz w:val="25"/>
          <w:szCs w:val="25"/>
        </w:rPr>
      </w:pPr>
      <w:r>
        <w:rPr>
          <w:rFonts w:hint="eastAsia" w:ascii="宋体" w:hAnsi="宋体"/>
          <w:sz w:val="25"/>
          <w:szCs w:val="25"/>
        </w:rPr>
        <w:t>2、要求乙方具有安全生产许可证及建筑机电安装工程专业承包或机电工程施工总承包叁级及以上资质，并具备有效的安全生产许可证，以确保施工安全和整体工程质量；</w:t>
      </w:r>
    </w:p>
    <w:p>
      <w:pPr>
        <w:adjustRightInd w:val="0"/>
        <w:snapToGrid w:val="0"/>
        <w:spacing w:line="480" w:lineRule="auto"/>
        <w:rPr>
          <w:rFonts w:ascii="宋体" w:hAnsi="宋体"/>
          <w:sz w:val="25"/>
          <w:szCs w:val="25"/>
        </w:rPr>
      </w:pPr>
      <w:r>
        <w:rPr>
          <w:rFonts w:hint="eastAsia" w:ascii="宋体" w:hAnsi="宋体"/>
          <w:sz w:val="25"/>
          <w:szCs w:val="25"/>
        </w:rPr>
        <w:t>3、乙方须提供2座高炉及以上真实高炉侵蚀系统扒炉后炉缸侵蚀的验证资料以验证炉缸侵蚀模型的正确性。</w:t>
      </w:r>
    </w:p>
    <w:p>
      <w:pPr>
        <w:rPr>
          <w:rFonts w:ascii="宋体" w:hAnsi="宋体"/>
          <w:b/>
          <w:sz w:val="25"/>
          <w:szCs w:val="25"/>
        </w:rPr>
      </w:pPr>
      <w:bookmarkStart w:id="2" w:name="_Toc530485220"/>
      <w:r>
        <w:rPr>
          <w:rFonts w:hint="eastAsia" w:ascii="宋体" w:hAnsi="宋体"/>
          <w:b/>
          <w:sz w:val="25"/>
          <w:szCs w:val="25"/>
        </w:rPr>
        <w:t>三、高炉炉缸多维侵蚀监测智能分析专家系统硬件组织架构与数据库</w:t>
      </w:r>
      <w:bookmarkEnd w:id="2"/>
      <w:r>
        <w:rPr>
          <w:rFonts w:hint="eastAsia" w:ascii="宋体" w:hAnsi="宋体"/>
          <w:b/>
          <w:sz w:val="25"/>
          <w:szCs w:val="25"/>
        </w:rPr>
        <w:t>模式</w:t>
      </w:r>
    </w:p>
    <w:p>
      <w:pPr>
        <w:rPr>
          <w:rFonts w:ascii="微软雅黑" w:hAnsi="微软雅黑" w:eastAsia="微软雅黑"/>
          <w:sz w:val="28"/>
          <w:szCs w:val="28"/>
        </w:rPr>
      </w:pPr>
      <w:r>
        <w:rPr>
          <w:rFonts w:ascii="微软雅黑" w:hAnsi="微软雅黑" w:eastAsia="微软雅黑"/>
          <w:sz w:val="28"/>
          <w:szCs w:val="28"/>
        </w:rPr>
        <w:drawing>
          <wp:inline distT="0" distB="0" distL="0" distR="0">
            <wp:extent cx="5274310" cy="3021330"/>
            <wp:effectExtent l="19050" t="19050" r="21590" b="26589"/>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5274310" cy="3021411"/>
                    </a:xfrm>
                    <a:prstGeom prst="rect">
                      <a:avLst/>
                    </a:prstGeom>
                    <a:ln w="12700" cap="flat" cmpd="sng">
                      <a:solidFill>
                        <a:srgbClr val="000000"/>
                      </a:solidFill>
                      <a:prstDash val="solid"/>
                      <a:miter/>
                      <a:headEnd type="none" w="med" len="med"/>
                      <a:tailEnd type="none" w="med" len="med"/>
                    </a:ln>
                  </pic:spPr>
                </pic:pic>
              </a:graphicData>
            </a:graphic>
          </wp:inline>
        </w:drawing>
      </w:r>
    </w:p>
    <w:p/>
    <w:p>
      <w:pPr>
        <w:ind w:firstLine="522"/>
        <w:rPr>
          <w:rFonts w:ascii="宋体" w:hAnsi="宋体"/>
          <w:sz w:val="25"/>
          <w:szCs w:val="25"/>
        </w:rPr>
      </w:pPr>
      <w:r>
        <w:rPr>
          <w:rFonts w:hint="eastAsia" w:ascii="宋体" w:hAnsi="宋体"/>
          <w:sz w:val="25"/>
          <w:szCs w:val="25"/>
        </w:rPr>
        <w:t>根据炉缸侵蚀模型的需求，炉缸侵蚀监测系统通过交换机与高炉一级系统对接，通过</w:t>
      </w:r>
      <w:r>
        <w:rPr>
          <w:rFonts w:ascii="宋体" w:hAnsi="宋体"/>
          <w:sz w:val="25"/>
          <w:szCs w:val="25"/>
        </w:rPr>
        <w:t>TCP/IP</w:t>
      </w:r>
      <w:r>
        <w:rPr>
          <w:rFonts w:hint="eastAsia" w:ascii="宋体" w:hAnsi="宋体"/>
          <w:sz w:val="25"/>
          <w:szCs w:val="25"/>
        </w:rPr>
        <w:t>或OPC协议实时读取炉缸热电偶的数据，建立炉底炉缸热电偶温度数据库。</w:t>
      </w:r>
    </w:p>
    <w:p>
      <w:r>
        <w:drawing>
          <wp:inline distT="0" distB="0" distL="0" distR="0">
            <wp:extent cx="5166995" cy="2846705"/>
            <wp:effectExtent l="0" t="0" r="0" b="0"/>
            <wp:docPr id="1027" name="图片 3" descr="1"/>
            <wp:cNvGraphicFramePr/>
            <a:graphic xmlns:a="http://schemas.openxmlformats.org/drawingml/2006/main">
              <a:graphicData uri="http://schemas.openxmlformats.org/drawingml/2006/picture">
                <pic:pic xmlns:pic="http://schemas.openxmlformats.org/drawingml/2006/picture">
                  <pic:nvPicPr>
                    <pic:cNvPr id="1027" name="图片 3" descr="1"/>
                    <pic:cNvPicPr/>
                  </pic:nvPicPr>
                  <pic:blipFill>
                    <a:blip r:embed="rId5" cstate="print"/>
                    <a:srcRect/>
                    <a:stretch>
                      <a:fillRect/>
                    </a:stretch>
                  </pic:blipFill>
                  <pic:spPr>
                    <a:xfrm>
                      <a:off x="0" y="0"/>
                      <a:ext cx="5166995" cy="2846705"/>
                    </a:xfrm>
                    <a:prstGeom prst="rect">
                      <a:avLst/>
                    </a:prstGeom>
                    <a:ln>
                      <a:noFill/>
                    </a:ln>
                  </pic:spPr>
                </pic:pic>
              </a:graphicData>
            </a:graphic>
          </wp:inline>
        </w:drawing>
      </w:r>
    </w:p>
    <w:p/>
    <w:p/>
    <w:p/>
    <w:p>
      <w:r>
        <w:rPr>
          <w:rFonts w:hint="eastAsia"/>
        </w:rPr>
        <w:t xml:space="preserve">                                                     芜湖新兴铸管有限责任公司</w:t>
      </w:r>
    </w:p>
    <w:p>
      <w:r>
        <w:rPr>
          <w:rFonts w:hint="eastAsia"/>
        </w:rPr>
        <w:t xml:space="preserve">                                                     </w:t>
      </w:r>
      <w:r>
        <w:t>2020/7/</w:t>
      </w:r>
      <w:r>
        <w:rPr>
          <w:rFonts w:hint="eastAsia"/>
        </w:rPr>
        <w:t>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8D1"/>
    <w:rsid w:val="00326175"/>
    <w:rsid w:val="005052E7"/>
    <w:rsid w:val="005071CC"/>
    <w:rsid w:val="00530AC6"/>
    <w:rsid w:val="00685808"/>
    <w:rsid w:val="006C074C"/>
    <w:rsid w:val="008308D1"/>
    <w:rsid w:val="00910F5F"/>
    <w:rsid w:val="00A75F8C"/>
    <w:rsid w:val="00AC12C0"/>
    <w:rsid w:val="00B314C5"/>
    <w:rsid w:val="00B834B7"/>
    <w:rsid w:val="00BD3592"/>
    <w:rsid w:val="00D91593"/>
    <w:rsid w:val="00DA636B"/>
    <w:rsid w:val="00EE7770"/>
    <w:rsid w:val="00F5682F"/>
    <w:rsid w:val="00F60F6A"/>
    <w:rsid w:val="34AB3138"/>
    <w:rsid w:val="51DC6492"/>
    <w:rsid w:val="53794B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cs="Times New Roman"/>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Char"/>
    <w:basedOn w:val="8"/>
    <w:link w:val="2"/>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442</Words>
  <Characters>2525</Characters>
  <Lines>21</Lines>
  <Paragraphs>5</Paragraphs>
  <TotalTime>22</TotalTime>
  <ScaleCrop>false</ScaleCrop>
  <LinksUpToDate>false</LinksUpToDate>
  <CharactersWithSpaces>2962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2020-07-22T07:49:00Z</dcterms:created>
  <dc:creator>Sky123.Org</dc:creator>
  <cp:lastModifiedBy>Administrator</cp:lastModifiedBy>
  <dcterms:modified xsi:type="dcterms:W3CDTF">2020-08-03T02:29:52Z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