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芜湖新兴铸管有限责任公司</w:t>
      </w: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综合料场封闭工程</w:t>
      </w:r>
    </w:p>
    <w:p>
      <w:pPr>
        <w:pStyle w:val="9"/>
        <w:tabs>
          <w:tab w:val="center" w:pos="4213"/>
          <w:tab w:val="right" w:pos="8306"/>
        </w:tabs>
        <w:snapToGrid w:val="0"/>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7#、8#转运站干雾抑尘装置</w:t>
      </w:r>
    </w:p>
    <w:p>
      <w:pPr>
        <w:pStyle w:val="9"/>
        <w:snapToGrid w:val="0"/>
        <w:ind w:firstLine="0"/>
        <w:jc w:val="both"/>
        <w:rPr>
          <w:rFonts w:ascii="Times New Roman" w:eastAsia="华文新魏"/>
          <w:b/>
          <w:color w:val="000000" w:themeColor="text1"/>
          <w:spacing w:val="16"/>
          <w:sz w:val="52"/>
          <w:szCs w:val="52"/>
          <w:highlight w:val="none"/>
          <w14:textFill>
            <w14:solidFill>
              <w14:schemeClr w14:val="tx1"/>
            </w14:solidFill>
          </w14:textFill>
        </w:rPr>
      </w:pP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技</w:t>
      </w: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术</w:t>
      </w: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规</w:t>
      </w: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格</w:t>
      </w:r>
    </w:p>
    <w:p>
      <w:pPr>
        <w:pStyle w:val="9"/>
        <w:ind w:firstLine="0"/>
        <w:rPr>
          <w:rFonts w:ascii="宋体" w:hAnsi="宋体" w:eastAsia="宋体" w:cs="宋体"/>
          <w:bCs/>
          <w:color w:val="000000" w:themeColor="text1"/>
          <w:sz w:val="52"/>
          <w:szCs w:val="52"/>
          <w:highlight w:val="none"/>
          <w14:textFill>
            <w14:solidFill>
              <w14:schemeClr w14:val="tx1"/>
            </w14:solidFill>
          </w14:textFill>
        </w:rPr>
      </w:pPr>
      <w:r>
        <w:rPr>
          <w:rFonts w:hint="eastAsia" w:ascii="宋体" w:hAnsi="宋体" w:eastAsia="宋体" w:cs="宋体"/>
          <w:bCs/>
          <w:color w:val="000000" w:themeColor="text1"/>
          <w:sz w:val="52"/>
          <w:szCs w:val="52"/>
          <w:highlight w:val="none"/>
          <w14:textFill>
            <w14:solidFill>
              <w14:schemeClr w14:val="tx1"/>
            </w14:solidFill>
          </w14:textFill>
        </w:rPr>
        <w:t>书</w:t>
      </w:r>
    </w:p>
    <w:p>
      <w:pPr>
        <w:pStyle w:val="16"/>
        <w:adjustRightInd w:val="0"/>
        <w:snapToGrid w:val="0"/>
        <w:spacing w:line="360" w:lineRule="auto"/>
        <w:rPr>
          <w:rFonts w:ascii="黑体" w:hAnsi="黑体" w:eastAsia="黑体" w:cs="黑体"/>
          <w:color w:val="000000" w:themeColor="text1"/>
          <w:sz w:val="36"/>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rFonts w:hint="eastAsia"/>
          <w:color w:val="000000" w:themeColor="text1"/>
          <w:highlight w:val="none"/>
          <w14:textFill>
            <w14:solidFill>
              <w14:schemeClr w14:val="tx1"/>
            </w14:solidFill>
          </w14:textFill>
        </w:rPr>
      </w:pPr>
    </w:p>
    <w:p>
      <w:pPr>
        <w:adjustRightInd w:val="0"/>
        <w:snapToGrid w:val="0"/>
        <w:spacing w:line="360" w:lineRule="auto"/>
        <w:rPr>
          <w:color w:val="000000" w:themeColor="text1"/>
          <w:highlight w:val="none"/>
          <w14:textFill>
            <w14:solidFill>
              <w14:schemeClr w14:val="tx1"/>
            </w14:solidFill>
          </w14:textFill>
        </w:rPr>
      </w:pPr>
    </w:p>
    <w:p>
      <w:pPr>
        <w:adjustRightInd w:val="0"/>
        <w:snapToGrid w:val="0"/>
        <w:spacing w:line="360" w:lineRule="auto"/>
        <w:rPr>
          <w:rFonts w:hint="eastAsia"/>
          <w:color w:val="000000" w:themeColor="text1"/>
          <w:highlight w:val="none"/>
          <w14:textFill>
            <w14:solidFill>
              <w14:schemeClr w14:val="tx1"/>
            </w14:solidFill>
          </w14:textFill>
        </w:rPr>
      </w:pP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编制：         审核：          会签：           批准：</w:t>
      </w:r>
    </w:p>
    <w:p>
      <w:pPr>
        <w:pageBreakBefore/>
        <w:adjustRightInd w:val="0"/>
        <w:snapToGrid w:val="0"/>
        <w:spacing w:line="360" w:lineRule="auto"/>
        <w:outlineLvl w:val="0"/>
        <w:rPr>
          <w:rFonts w:hint="eastAsia" w:ascii="宋体" w:hAnsi="宋体"/>
          <w:b/>
          <w:bCs/>
          <w:color w:val="000000" w:themeColor="text1"/>
          <w:sz w:val="32"/>
          <w:szCs w:val="32"/>
          <w:highlight w:val="none"/>
          <w14:textFill>
            <w14:solidFill>
              <w14:schemeClr w14:val="tx1"/>
            </w14:solidFill>
          </w14:textFill>
        </w:rPr>
        <w:sectPr>
          <w:pgSz w:w="11906" w:h="16838"/>
          <w:pgMar w:top="1418" w:right="1418" w:bottom="1418" w:left="1418" w:header="851" w:footer="992" w:gutter="0"/>
          <w:pgNumType w:fmt="decimal" w:start="1"/>
          <w:cols w:space="720" w:num="1"/>
          <w:docGrid w:type="lines" w:linePitch="326" w:charSpace="0"/>
        </w:sectPr>
      </w:pPr>
    </w:p>
    <w:p>
      <w:pPr>
        <w:pageBreakBefore/>
        <w:adjustRightInd w:val="0"/>
        <w:snapToGrid w:val="0"/>
        <w:spacing w:line="360" w:lineRule="auto"/>
        <w:outlineLvl w:val="0"/>
        <w:rPr>
          <w:rFonts w:ascii="宋体" w:hAnsi="宋体"/>
          <w:b/>
          <w:color w:val="000000" w:themeColor="text1"/>
          <w:spacing w:val="10"/>
          <w:sz w:val="84"/>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一、总则</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1</w:t>
      </w:r>
      <w:r>
        <w:rPr>
          <w:rFonts w:ascii="宋体" w:hAnsi="宋体" w:cs="Times New Roman"/>
          <w:color w:val="000000" w:themeColor="text1"/>
          <w:kern w:val="2"/>
          <w:sz w:val="28"/>
          <w:szCs w:val="28"/>
          <w:highlight w:val="none"/>
          <w14:textFill>
            <w14:solidFill>
              <w14:schemeClr w14:val="tx1"/>
            </w14:solidFill>
          </w14:textFill>
        </w:rPr>
        <w:t>.</w:t>
      </w:r>
      <w:r>
        <w:rPr>
          <w:rFonts w:hint="eastAsia" w:ascii="宋体" w:hAnsi="宋体" w:cs="Times New Roman"/>
          <w:color w:val="000000" w:themeColor="text1"/>
          <w:kern w:val="2"/>
          <w:sz w:val="28"/>
          <w:szCs w:val="28"/>
          <w:highlight w:val="none"/>
          <w14:textFill>
            <w14:solidFill>
              <w14:schemeClr w14:val="tx1"/>
            </w14:solidFill>
          </w14:textFill>
        </w:rPr>
        <w:t>本规格书适用于综合料场封闭工程7#、8#转运站干雾抑尘装置系统。</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2</w:t>
      </w:r>
      <w:r>
        <w:rPr>
          <w:rFonts w:ascii="宋体" w:hAnsi="宋体" w:cs="Times New Roman"/>
          <w:color w:val="000000" w:themeColor="text1"/>
          <w:kern w:val="2"/>
          <w:sz w:val="28"/>
          <w:szCs w:val="28"/>
          <w:highlight w:val="none"/>
          <w14:textFill>
            <w14:solidFill>
              <w14:schemeClr w14:val="tx1"/>
            </w14:solidFill>
          </w14:textFill>
        </w:rPr>
        <w:t>.本</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w:t>
      </w:r>
      <w:r>
        <w:rPr>
          <w:rFonts w:hint="eastAsia" w:ascii="宋体" w:hAnsi="宋体" w:cs="Times New Roman"/>
          <w:color w:val="000000" w:themeColor="text1"/>
          <w:kern w:val="2"/>
          <w:sz w:val="28"/>
          <w:szCs w:val="28"/>
          <w:highlight w:val="none"/>
          <w14:textFill>
            <w14:solidFill>
              <w14:schemeClr w14:val="tx1"/>
            </w14:solidFill>
          </w14:textFill>
        </w:rPr>
        <w:t>提出了综合料场封闭工程7#、8#转运站干雾抑尘装置的</w:t>
      </w:r>
      <w:r>
        <w:rPr>
          <w:rFonts w:ascii="宋体" w:hAnsi="宋体" w:cs="Times New Roman"/>
          <w:color w:val="000000" w:themeColor="text1"/>
          <w:kern w:val="2"/>
          <w:sz w:val="28"/>
          <w:szCs w:val="28"/>
          <w:highlight w:val="none"/>
          <w14:textFill>
            <w14:solidFill>
              <w14:schemeClr w14:val="tx1"/>
            </w14:solidFill>
          </w14:textFill>
        </w:rPr>
        <w:t>相关</w:t>
      </w:r>
      <w:r>
        <w:rPr>
          <w:rFonts w:hint="eastAsia" w:ascii="宋体" w:hAnsi="宋体" w:cs="Times New Roman"/>
          <w:color w:val="000000" w:themeColor="text1"/>
          <w:kern w:val="2"/>
          <w:sz w:val="28"/>
          <w:szCs w:val="28"/>
          <w:highlight w:val="none"/>
          <w14:textFill>
            <w14:solidFill>
              <w14:schemeClr w14:val="tx1"/>
            </w14:solidFill>
          </w14:textFill>
        </w:rPr>
        <w:t>技术</w:t>
      </w:r>
      <w:r>
        <w:rPr>
          <w:rFonts w:ascii="宋体" w:hAnsi="宋体" w:cs="Times New Roman"/>
          <w:color w:val="000000" w:themeColor="text1"/>
          <w:kern w:val="2"/>
          <w:sz w:val="28"/>
          <w:szCs w:val="28"/>
          <w:highlight w:val="none"/>
          <w14:textFill>
            <w14:solidFill>
              <w14:schemeClr w14:val="tx1"/>
            </w14:solidFill>
          </w14:textFill>
        </w:rPr>
        <w:t>要求</w:t>
      </w:r>
      <w:r>
        <w:rPr>
          <w:rFonts w:hint="eastAsia" w:ascii="宋体" w:hAnsi="宋体" w:cs="Times New Roman"/>
          <w:color w:val="000000" w:themeColor="text1"/>
          <w:kern w:val="2"/>
          <w:sz w:val="28"/>
          <w:szCs w:val="28"/>
          <w:highlight w:val="none"/>
          <w14:textFill>
            <w14:solidFill>
              <w14:schemeClr w14:val="tx1"/>
            </w14:solidFill>
          </w14:textFill>
        </w:rPr>
        <w:t>。上述装置的</w:t>
      </w:r>
      <w:r>
        <w:rPr>
          <w:rFonts w:ascii="宋体" w:hAnsi="宋体" w:cs="Times New Roman"/>
          <w:color w:val="000000" w:themeColor="text1"/>
          <w:kern w:val="2"/>
          <w:sz w:val="28"/>
          <w:szCs w:val="28"/>
          <w:highlight w:val="none"/>
          <w14:textFill>
            <w14:solidFill>
              <w14:schemeClr w14:val="tx1"/>
            </w14:solidFill>
          </w14:textFill>
        </w:rPr>
        <w:t>设计、</w:t>
      </w:r>
      <w:r>
        <w:rPr>
          <w:rFonts w:hint="eastAsia" w:ascii="宋体" w:hAnsi="宋体" w:cs="Times New Roman"/>
          <w:color w:val="000000" w:themeColor="text1"/>
          <w:kern w:val="2"/>
          <w:sz w:val="28"/>
          <w:szCs w:val="28"/>
          <w:highlight w:val="none"/>
          <w14:textFill>
            <w14:solidFill>
              <w14:schemeClr w14:val="tx1"/>
            </w14:solidFill>
          </w14:textFill>
        </w:rPr>
        <w:t>设备供货、</w:t>
      </w:r>
      <w:r>
        <w:rPr>
          <w:rFonts w:ascii="宋体" w:hAnsi="宋体" w:cs="Times New Roman"/>
          <w:color w:val="000000" w:themeColor="text1"/>
          <w:kern w:val="2"/>
          <w:sz w:val="28"/>
          <w:szCs w:val="28"/>
          <w:highlight w:val="none"/>
          <w14:textFill>
            <w14:solidFill>
              <w14:schemeClr w14:val="tx1"/>
            </w14:solidFill>
          </w14:textFill>
        </w:rPr>
        <w:t>安装</w:t>
      </w:r>
      <w:r>
        <w:rPr>
          <w:rFonts w:hint="eastAsia" w:ascii="宋体" w:hAnsi="宋体" w:cs="Times New Roman"/>
          <w:color w:val="000000" w:themeColor="text1"/>
          <w:kern w:val="2"/>
          <w:sz w:val="28"/>
          <w:szCs w:val="28"/>
          <w:highlight w:val="none"/>
          <w:lang w:eastAsia="zh-CN"/>
          <w14:textFill>
            <w14:solidFill>
              <w14:schemeClr w14:val="tx1"/>
            </w14:solidFill>
          </w14:textFill>
        </w:rPr>
        <w:t>指导</w:t>
      </w:r>
      <w:r>
        <w:rPr>
          <w:rFonts w:hint="eastAsia" w:ascii="宋体" w:hAnsi="宋体" w:cs="Times New Roman"/>
          <w:color w:val="000000" w:themeColor="text1"/>
          <w:kern w:val="2"/>
          <w:sz w:val="28"/>
          <w:szCs w:val="28"/>
          <w:highlight w:val="none"/>
          <w14:textFill>
            <w14:solidFill>
              <w14:schemeClr w14:val="tx1"/>
            </w14:solidFill>
          </w14:textFill>
        </w:rPr>
        <w:t>、调试等</w:t>
      </w:r>
      <w:r>
        <w:rPr>
          <w:rFonts w:ascii="宋体" w:hAnsi="宋体" w:cs="Times New Roman"/>
          <w:color w:val="000000" w:themeColor="text1"/>
          <w:kern w:val="2"/>
          <w:sz w:val="28"/>
          <w:szCs w:val="28"/>
          <w:highlight w:val="none"/>
          <w14:textFill>
            <w14:solidFill>
              <w14:schemeClr w14:val="tx1"/>
            </w14:solidFill>
          </w14:textFill>
        </w:rPr>
        <w:t>方面</w:t>
      </w:r>
      <w:r>
        <w:rPr>
          <w:rFonts w:hint="eastAsia" w:ascii="宋体" w:hAnsi="宋体" w:cs="Times New Roman"/>
          <w:color w:val="000000" w:themeColor="text1"/>
          <w:kern w:val="2"/>
          <w:sz w:val="28"/>
          <w:szCs w:val="28"/>
          <w:highlight w:val="none"/>
          <w14:textFill>
            <w14:solidFill>
              <w14:schemeClr w14:val="tx1"/>
            </w14:solidFill>
          </w14:textFill>
        </w:rPr>
        <w:t>工作均由投标方完成</w:t>
      </w:r>
      <w:r>
        <w:rPr>
          <w:rFonts w:ascii="宋体" w:hAnsi="宋体" w:cs="Times New Roman"/>
          <w:color w:val="000000" w:themeColor="text1"/>
          <w:kern w:val="2"/>
          <w:sz w:val="28"/>
          <w:szCs w:val="28"/>
          <w:highlight w:val="none"/>
          <w14:textFill>
            <w14:solidFill>
              <w14:schemeClr w14:val="tx1"/>
            </w14:solidFill>
          </w14:textFill>
        </w:rPr>
        <w:t>。</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3</w:t>
      </w:r>
      <w:r>
        <w:rPr>
          <w:rFonts w:ascii="宋体" w:hAnsi="宋体" w:cs="Times New Roman"/>
          <w:color w:val="000000" w:themeColor="text1"/>
          <w:kern w:val="2"/>
          <w:sz w:val="28"/>
          <w:szCs w:val="28"/>
          <w:highlight w:val="none"/>
          <w14:textFill>
            <w14:solidFill>
              <w14:schemeClr w14:val="tx1"/>
            </w14:solidFill>
          </w14:textFill>
        </w:rPr>
        <w:t>.本</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书提出的是最低限度的技术要求，并未对一切技术细节作出规定，也未充分引述有关标准和规范的条文，投标方应提供符合本</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书和有关工业标准的优质产品。对国家有关环保</w:t>
      </w:r>
      <w:r>
        <w:rPr>
          <w:rFonts w:hint="eastAsia" w:ascii="宋体" w:hAnsi="宋体" w:cs="Times New Roman"/>
          <w:color w:val="000000" w:themeColor="text1"/>
          <w:kern w:val="2"/>
          <w:sz w:val="28"/>
          <w:szCs w:val="28"/>
          <w:highlight w:val="none"/>
          <w14:textFill>
            <w14:solidFill>
              <w14:schemeClr w14:val="tx1"/>
            </w14:solidFill>
          </w14:textFill>
        </w:rPr>
        <w:t>、安全</w:t>
      </w:r>
      <w:r>
        <w:rPr>
          <w:rFonts w:ascii="宋体" w:hAnsi="宋体" w:cs="Times New Roman"/>
          <w:color w:val="000000" w:themeColor="text1"/>
          <w:kern w:val="2"/>
          <w:sz w:val="28"/>
          <w:szCs w:val="28"/>
          <w:highlight w:val="none"/>
          <w14:textFill>
            <w14:solidFill>
              <w14:schemeClr w14:val="tx1"/>
            </w14:solidFill>
          </w14:textFill>
        </w:rPr>
        <w:t>等强制性标准，必须满足其要求。</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4</w:t>
      </w:r>
      <w:r>
        <w:rPr>
          <w:rFonts w:ascii="宋体" w:hAnsi="宋体" w:cs="Times New Roman"/>
          <w:color w:val="000000" w:themeColor="text1"/>
          <w:kern w:val="2"/>
          <w:sz w:val="28"/>
          <w:szCs w:val="28"/>
          <w:highlight w:val="none"/>
          <w14:textFill>
            <w14:solidFill>
              <w14:schemeClr w14:val="tx1"/>
            </w14:solidFill>
          </w14:textFill>
        </w:rPr>
        <w:t>.如果投标方没有以书面形式对本</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书的条文提出异议，则意味着投标方提供的设备完全符合本</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书的要求。如有异议，应在投标书中以“对规</w:t>
      </w:r>
      <w:r>
        <w:rPr>
          <w:rFonts w:hint="eastAsia" w:ascii="宋体" w:hAnsi="宋体" w:cs="Times New Roman"/>
          <w:color w:val="000000" w:themeColor="text1"/>
          <w:kern w:val="2"/>
          <w:sz w:val="28"/>
          <w:szCs w:val="28"/>
          <w:highlight w:val="none"/>
          <w14:textFill>
            <w14:solidFill>
              <w14:schemeClr w14:val="tx1"/>
            </w14:solidFill>
          </w14:textFill>
        </w:rPr>
        <w:t>格</w:t>
      </w:r>
      <w:r>
        <w:rPr>
          <w:rFonts w:ascii="宋体" w:hAnsi="宋体" w:cs="Times New Roman"/>
          <w:color w:val="000000" w:themeColor="text1"/>
          <w:kern w:val="2"/>
          <w:sz w:val="28"/>
          <w:szCs w:val="28"/>
          <w:highlight w:val="none"/>
          <w14:textFill>
            <w14:solidFill>
              <w14:schemeClr w14:val="tx1"/>
            </w14:solidFill>
          </w14:textFill>
        </w:rPr>
        <w:t>书的意见和同</w:t>
      </w:r>
      <w:r>
        <w:rPr>
          <w:rFonts w:hint="eastAsia" w:ascii="宋体" w:hAnsi="宋体" w:cs="Times New Roman"/>
          <w:color w:val="000000" w:themeColor="text1"/>
          <w:kern w:val="2"/>
          <w:sz w:val="28"/>
          <w:szCs w:val="28"/>
          <w:highlight w:val="none"/>
          <w14:textFill>
            <w14:solidFill>
              <w14:schemeClr w14:val="tx1"/>
            </w14:solidFill>
          </w14:textFill>
        </w:rPr>
        <w:t>规格</w:t>
      </w:r>
      <w:r>
        <w:rPr>
          <w:rFonts w:ascii="宋体" w:hAnsi="宋体" w:cs="Times New Roman"/>
          <w:color w:val="000000" w:themeColor="text1"/>
          <w:kern w:val="2"/>
          <w:sz w:val="28"/>
          <w:szCs w:val="28"/>
          <w:highlight w:val="none"/>
          <w14:textFill>
            <w14:solidFill>
              <w14:schemeClr w14:val="tx1"/>
            </w14:solidFill>
          </w14:textFill>
        </w:rPr>
        <w:t>书的差异”为标题的专门章节中加以详细描述。</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5</w:t>
      </w:r>
      <w:r>
        <w:rPr>
          <w:rFonts w:ascii="宋体" w:hAnsi="宋体" w:cs="Times New Roman"/>
          <w:color w:val="000000" w:themeColor="text1"/>
          <w:kern w:val="2"/>
          <w:sz w:val="28"/>
          <w:szCs w:val="28"/>
          <w:highlight w:val="none"/>
          <w14:textFill>
            <w14:solidFill>
              <w14:schemeClr w14:val="tx1"/>
            </w14:solidFill>
          </w14:textFill>
        </w:rPr>
        <w:t>.</w:t>
      </w:r>
      <w:r>
        <w:rPr>
          <w:rFonts w:hint="eastAsia" w:ascii="宋体" w:hAnsi="宋体" w:cs="Times New Roman"/>
          <w:color w:val="000000" w:themeColor="text1"/>
          <w:kern w:val="2"/>
          <w:sz w:val="28"/>
          <w:szCs w:val="28"/>
          <w:highlight w:val="none"/>
          <w14:textFill>
            <w14:solidFill>
              <w14:schemeClr w14:val="tx1"/>
            </w14:solidFill>
          </w14:textFill>
        </w:rPr>
        <w:t>本技术规格书所使用的标准，如与投标方所执行的标准不一致时，按较高的标准执行。如果本技术规格书与现行使用的有关国家标准以及颁布标准有明显抵触的条文，投标方应及时书面通知招标方进行</w:t>
      </w:r>
      <w:r>
        <w:rPr>
          <w:rFonts w:hint="eastAsia" w:ascii="宋体" w:hAnsi="宋体" w:cs="Times New Roman"/>
          <w:color w:val="000000" w:themeColor="text1"/>
          <w:kern w:val="2"/>
          <w:sz w:val="28"/>
          <w:szCs w:val="28"/>
          <w:highlight w:val="none"/>
          <w:lang w:eastAsia="zh-CN"/>
          <w14:textFill>
            <w14:solidFill>
              <w14:schemeClr w14:val="tx1"/>
            </w14:solidFill>
          </w14:textFill>
        </w:rPr>
        <w:t>沟通</w:t>
      </w:r>
      <w:r>
        <w:rPr>
          <w:rFonts w:ascii="宋体" w:hAnsi="宋体" w:cs="Times New Roman"/>
          <w:color w:val="000000" w:themeColor="text1"/>
          <w:kern w:val="2"/>
          <w:sz w:val="28"/>
          <w:szCs w:val="28"/>
          <w:highlight w:val="none"/>
          <w14:textFill>
            <w14:solidFill>
              <w14:schemeClr w14:val="tx1"/>
            </w14:solidFill>
          </w14:textFill>
        </w:rPr>
        <w:t>。</w:t>
      </w:r>
    </w:p>
    <w:p>
      <w:pPr>
        <w:pStyle w:val="5"/>
        <w:tabs>
          <w:tab w:val="left" w:pos="425"/>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bookmarkStart w:id="0" w:name="_Toc535052067"/>
      <w:r>
        <w:rPr>
          <w:rFonts w:hint="eastAsia" w:ascii="宋体" w:hAnsi="宋体" w:cs="Times New Roman"/>
          <w:color w:val="000000" w:themeColor="text1"/>
          <w:kern w:val="2"/>
          <w:sz w:val="28"/>
          <w:szCs w:val="28"/>
          <w:highlight w:val="none"/>
          <w14:textFill>
            <w14:solidFill>
              <w14:schemeClr w14:val="tx1"/>
            </w14:solidFill>
          </w14:textFill>
        </w:rPr>
        <w:t>6</w:t>
      </w:r>
      <w:r>
        <w:rPr>
          <w:rFonts w:ascii="宋体" w:hAnsi="宋体" w:cs="Times New Roman"/>
          <w:color w:val="000000" w:themeColor="text1"/>
          <w:kern w:val="2"/>
          <w:sz w:val="28"/>
          <w:szCs w:val="28"/>
          <w:highlight w:val="none"/>
          <w14:textFill>
            <w14:solidFill>
              <w14:schemeClr w14:val="tx1"/>
            </w14:solidFill>
          </w14:textFill>
        </w:rPr>
        <w:t>.投标方应提供高质量的设备</w:t>
      </w:r>
      <w:r>
        <w:rPr>
          <w:rFonts w:hint="eastAsia" w:ascii="宋体" w:hAnsi="宋体" w:cs="Times New Roman"/>
          <w:color w:val="000000" w:themeColor="text1"/>
          <w:kern w:val="2"/>
          <w:sz w:val="28"/>
          <w:szCs w:val="28"/>
          <w:highlight w:val="none"/>
          <w14:textFill>
            <w14:solidFill>
              <w14:schemeClr w14:val="tx1"/>
            </w14:solidFill>
          </w14:textFill>
        </w:rPr>
        <w:t>，</w:t>
      </w:r>
      <w:r>
        <w:rPr>
          <w:rFonts w:ascii="宋体" w:hAnsi="宋体" w:cs="Times New Roman"/>
          <w:color w:val="000000" w:themeColor="text1"/>
          <w:kern w:val="2"/>
          <w:sz w:val="28"/>
          <w:szCs w:val="28"/>
          <w:highlight w:val="none"/>
          <w14:textFill>
            <w14:solidFill>
              <w14:schemeClr w14:val="tx1"/>
            </w14:solidFill>
          </w14:textFill>
        </w:rPr>
        <w:t>这些设备是成熟可靠、技术先进的，</w:t>
      </w:r>
      <w:r>
        <w:rPr>
          <w:rFonts w:hint="eastAsia" w:ascii="宋体" w:hAnsi="宋体" w:cs="Times New Roman"/>
          <w:color w:val="000000" w:themeColor="text1"/>
          <w:kern w:val="2"/>
          <w:sz w:val="28"/>
          <w:szCs w:val="28"/>
          <w:highlight w:val="none"/>
          <w14:textFill>
            <w14:solidFill>
              <w14:schemeClr w14:val="tx1"/>
            </w14:solidFill>
          </w14:textFill>
        </w:rPr>
        <w:t>投标方</w:t>
      </w:r>
      <w:r>
        <w:rPr>
          <w:rFonts w:ascii="宋体" w:hAnsi="宋体" w:cs="Times New Roman"/>
          <w:color w:val="000000" w:themeColor="text1"/>
          <w:kern w:val="2"/>
          <w:sz w:val="28"/>
          <w:szCs w:val="28"/>
          <w:highlight w:val="none"/>
          <w14:textFill>
            <w14:solidFill>
              <w14:schemeClr w14:val="tx1"/>
            </w14:solidFill>
          </w14:textFill>
        </w:rPr>
        <w:t>具有设备制造、运行成功</w:t>
      </w:r>
      <w:r>
        <w:rPr>
          <w:rFonts w:hint="eastAsia" w:ascii="宋体" w:hAnsi="宋体" w:cs="Times New Roman"/>
          <w:color w:val="000000" w:themeColor="text1"/>
          <w:kern w:val="2"/>
          <w:sz w:val="28"/>
          <w:szCs w:val="28"/>
          <w:highlight w:val="none"/>
          <w14:textFill>
            <w14:solidFill>
              <w14:schemeClr w14:val="tx1"/>
            </w14:solidFill>
          </w14:textFill>
        </w:rPr>
        <w:t>的</w:t>
      </w:r>
      <w:r>
        <w:rPr>
          <w:rFonts w:ascii="宋体" w:hAnsi="宋体" w:cs="Times New Roman"/>
          <w:color w:val="000000" w:themeColor="text1"/>
          <w:kern w:val="2"/>
          <w:sz w:val="28"/>
          <w:szCs w:val="28"/>
          <w:highlight w:val="none"/>
          <w14:textFill>
            <w14:solidFill>
              <w14:schemeClr w14:val="tx1"/>
            </w14:solidFill>
          </w14:textFill>
        </w:rPr>
        <w:t>经验</w:t>
      </w:r>
      <w:r>
        <w:rPr>
          <w:rFonts w:hint="eastAsia" w:ascii="宋体" w:hAnsi="宋体" w:cs="Times New Roman"/>
          <w:color w:val="000000" w:themeColor="text1"/>
          <w:kern w:val="2"/>
          <w:sz w:val="28"/>
          <w:szCs w:val="28"/>
          <w:highlight w:val="none"/>
          <w14:textFill>
            <w14:solidFill>
              <w14:schemeClr w14:val="tx1"/>
            </w14:solidFill>
          </w14:textFill>
        </w:rPr>
        <w:t>，提供相关</w:t>
      </w:r>
      <w:r>
        <w:rPr>
          <w:rFonts w:ascii="宋体" w:hAnsi="宋体" w:cs="Times New Roman"/>
          <w:color w:val="000000" w:themeColor="text1"/>
          <w:kern w:val="2"/>
          <w:sz w:val="28"/>
          <w:szCs w:val="28"/>
          <w:highlight w:val="none"/>
          <w14:textFill>
            <w14:solidFill>
              <w14:schemeClr w14:val="tx1"/>
            </w14:solidFill>
          </w14:textFill>
        </w:rPr>
        <w:t>产品鉴定证书。</w:t>
      </w:r>
      <w:bookmarkEnd w:id="0"/>
    </w:p>
    <w:p>
      <w:pPr>
        <w:pStyle w:val="5"/>
        <w:tabs>
          <w:tab w:val="left" w:pos="525"/>
        </w:tabs>
        <w:snapToGrid w:val="0"/>
        <w:spacing w:before="0" w:line="360" w:lineRule="auto"/>
        <w:ind w:firstLine="560" w:firstLineChars="200"/>
        <w:rPr>
          <w:rFonts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7</w:t>
      </w:r>
      <w:r>
        <w:rPr>
          <w:rFonts w:ascii="宋体" w:hAnsi="宋体" w:cs="Times New Roman"/>
          <w:color w:val="000000" w:themeColor="text1"/>
          <w:kern w:val="2"/>
          <w:sz w:val="28"/>
          <w:szCs w:val="28"/>
          <w:highlight w:val="none"/>
          <w14:textFill>
            <w14:solidFill>
              <w14:schemeClr w14:val="tx1"/>
            </w14:solidFill>
          </w14:textFill>
        </w:rPr>
        <w:t>.</w:t>
      </w:r>
      <w:r>
        <w:rPr>
          <w:rFonts w:hint="eastAsia" w:ascii="宋体" w:hAnsi="宋体" w:cs="Times New Roman"/>
          <w:color w:val="000000" w:themeColor="text1"/>
          <w:kern w:val="2"/>
          <w:sz w:val="28"/>
          <w:szCs w:val="28"/>
          <w:highlight w:val="none"/>
          <w14:textFill>
            <w14:solidFill>
              <w14:schemeClr w14:val="tx1"/>
            </w14:solidFill>
          </w14:textFill>
        </w:rPr>
        <w:t>设备采用的技术不得涉及他人的专利，所有专利涉及到的全部费用均已包含在设备报价中，投标方保证招标方不承担有关设备专利的一切责任。</w:t>
      </w:r>
    </w:p>
    <w:p>
      <w:pPr>
        <w:pStyle w:val="5"/>
        <w:tabs>
          <w:tab w:val="left" w:pos="525"/>
        </w:tabs>
        <w:snapToGrid w:val="0"/>
        <w:spacing w:before="0" w:line="360" w:lineRule="auto"/>
        <w:ind w:firstLine="560" w:firstLineChars="200"/>
        <w:rPr>
          <w:rFonts w:hint="eastAsia" w:ascii="宋体" w:hAnsi="宋体" w:cs="Times New Roman"/>
          <w:color w:val="000000" w:themeColor="text1"/>
          <w:kern w:val="2"/>
          <w:sz w:val="28"/>
          <w:szCs w:val="28"/>
          <w:highlight w:val="none"/>
          <w14:textFill>
            <w14:solidFill>
              <w14:schemeClr w14:val="tx1"/>
            </w14:solidFill>
          </w14:textFill>
        </w:rPr>
      </w:pPr>
      <w:r>
        <w:rPr>
          <w:rFonts w:hint="eastAsia" w:ascii="宋体" w:hAnsi="宋体" w:cs="Times New Roman"/>
          <w:color w:val="000000" w:themeColor="text1"/>
          <w:kern w:val="2"/>
          <w:sz w:val="28"/>
          <w:szCs w:val="28"/>
          <w:highlight w:val="none"/>
          <w14:textFill>
            <w14:solidFill>
              <w14:schemeClr w14:val="tx1"/>
            </w14:solidFill>
          </w14:textFill>
        </w:rPr>
        <w:t>8</w:t>
      </w:r>
      <w:r>
        <w:rPr>
          <w:rFonts w:ascii="宋体" w:hAnsi="宋体" w:cs="Times New Roman"/>
          <w:color w:val="000000" w:themeColor="text1"/>
          <w:kern w:val="2"/>
          <w:sz w:val="28"/>
          <w:szCs w:val="28"/>
          <w:highlight w:val="none"/>
          <w14:textFill>
            <w14:solidFill>
              <w14:schemeClr w14:val="tx1"/>
            </w14:solidFill>
          </w14:textFill>
        </w:rPr>
        <w:t>.</w:t>
      </w:r>
      <w:r>
        <w:rPr>
          <w:rFonts w:hint="eastAsia" w:ascii="宋体" w:hAnsi="宋体" w:cs="Times New Roman"/>
          <w:color w:val="000000" w:themeColor="text1"/>
          <w:kern w:val="2"/>
          <w:sz w:val="28"/>
          <w:szCs w:val="28"/>
          <w:highlight w:val="none"/>
          <w14:textFill>
            <w14:solidFill>
              <w14:schemeClr w14:val="tx1"/>
            </w14:solidFill>
          </w14:textFill>
        </w:rPr>
        <w:t>投标方</w:t>
      </w:r>
      <w:r>
        <w:rPr>
          <w:rFonts w:hint="eastAsia" w:ascii="宋体" w:hAnsi="宋体" w:cs="Times New Roman"/>
          <w:color w:val="000000" w:themeColor="text1"/>
          <w:kern w:val="2"/>
          <w:sz w:val="28"/>
          <w:szCs w:val="28"/>
          <w:highlight w:val="none"/>
          <w:lang w:eastAsia="zh-CN"/>
          <w14:textFill>
            <w14:solidFill>
              <w14:schemeClr w14:val="tx1"/>
            </w14:solidFill>
          </w14:textFill>
        </w:rPr>
        <w:t>负责</w:t>
      </w:r>
      <w:r>
        <w:rPr>
          <w:rFonts w:hint="eastAsia" w:ascii="宋体" w:hAnsi="宋体" w:cs="Times New Roman"/>
          <w:color w:val="000000" w:themeColor="text1"/>
          <w:kern w:val="2"/>
          <w:sz w:val="28"/>
          <w:szCs w:val="28"/>
          <w:highlight w:val="none"/>
          <w14:textFill>
            <w14:solidFill>
              <w14:schemeClr w14:val="tx1"/>
            </w14:solidFill>
          </w14:textFill>
        </w:rPr>
        <w:t>干雾抑尘装置的</w:t>
      </w:r>
      <w:r>
        <w:rPr>
          <w:rFonts w:hint="eastAsia" w:ascii="宋体" w:hAnsi="宋体" w:cs="Times New Roman"/>
          <w:color w:val="000000" w:themeColor="text1"/>
          <w:kern w:val="2"/>
          <w:sz w:val="28"/>
          <w:szCs w:val="28"/>
          <w:highlight w:val="none"/>
          <w:lang w:eastAsia="zh-CN"/>
          <w14:textFill>
            <w14:solidFill>
              <w14:schemeClr w14:val="tx1"/>
            </w14:solidFill>
          </w14:textFill>
        </w:rPr>
        <w:t>供货、</w:t>
      </w:r>
      <w:r>
        <w:rPr>
          <w:rFonts w:hint="eastAsia" w:ascii="宋体" w:hAnsi="宋体" w:cs="Times New Roman"/>
          <w:color w:val="000000" w:themeColor="text1"/>
          <w:kern w:val="2"/>
          <w:sz w:val="28"/>
          <w:szCs w:val="28"/>
          <w:highlight w:val="none"/>
          <w14:textFill>
            <w14:solidFill>
              <w14:schemeClr w14:val="tx1"/>
            </w14:solidFill>
          </w14:textFill>
        </w:rPr>
        <w:t>安装</w:t>
      </w:r>
      <w:r>
        <w:rPr>
          <w:rFonts w:hint="eastAsia" w:ascii="宋体" w:hAnsi="宋体" w:cs="Times New Roman"/>
          <w:color w:val="000000" w:themeColor="text1"/>
          <w:kern w:val="2"/>
          <w:sz w:val="28"/>
          <w:szCs w:val="28"/>
          <w:highlight w:val="none"/>
          <w:lang w:eastAsia="zh-CN"/>
          <w14:textFill>
            <w14:solidFill>
              <w14:schemeClr w14:val="tx1"/>
            </w14:solidFill>
          </w14:textFill>
        </w:rPr>
        <w:t>指导</w:t>
      </w:r>
      <w:r>
        <w:rPr>
          <w:rFonts w:hint="eastAsia" w:ascii="宋体" w:hAnsi="宋体" w:cs="Times New Roman"/>
          <w:color w:val="000000" w:themeColor="text1"/>
          <w:kern w:val="2"/>
          <w:sz w:val="28"/>
          <w:szCs w:val="28"/>
          <w:highlight w:val="none"/>
          <w14:textFill>
            <w14:solidFill>
              <w14:schemeClr w14:val="tx1"/>
            </w14:solidFill>
          </w14:textFill>
        </w:rPr>
        <w:t>、调试和验收，需有机电工程施工总承包三级以上资质。</w:t>
      </w:r>
    </w:p>
    <w:p>
      <w:pPr>
        <w:adjustRightInd w:val="0"/>
        <w:snapToGrid w:val="0"/>
        <w:spacing w:line="360" w:lineRule="auto"/>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二、概况</w:t>
      </w:r>
    </w:p>
    <w:p>
      <w:pPr>
        <w:adjustRightInd w:val="0"/>
        <w:snapToGrid w:val="0"/>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sectPr>
          <w:footerReference r:id="rId3" w:type="default"/>
          <w:pgSz w:w="11906" w:h="16838"/>
          <w:pgMar w:top="1418" w:right="1418" w:bottom="1418" w:left="1418" w:header="851" w:footer="992" w:gutter="0"/>
          <w:pgNumType w:fmt="decimal" w:start="1"/>
          <w:cols w:space="720" w:num="1"/>
          <w:docGrid w:type="lines" w:linePitch="326" w:charSpace="0"/>
        </w:sectPr>
      </w:pPr>
      <w:r>
        <w:rPr>
          <w:rFonts w:hint="eastAsia" w:ascii="宋体" w:hAnsi="宋体"/>
          <w:color w:val="000000" w:themeColor="text1"/>
          <w:sz w:val="28"/>
          <w:szCs w:val="28"/>
          <w:highlight w:val="none"/>
          <w14:textFill>
            <w14:solidFill>
              <w14:schemeClr w14:val="tx1"/>
            </w14:solidFill>
          </w14:textFill>
        </w:rPr>
        <w:t>芜湖新兴铸管有限责任公司的7#、8#转运站相距300米，本次治理的范围为7#和8#转运站内的皮带转接点，7#转运站共有8个皮带机转接点，</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8#转运站有11个皮带转接点。两个转运站共有19个皮带转接点位，皮带（皮带宽度为1200mm）落料作业过程中扬尘严重，目前使用布袋除尘器抑尘，为提高抑尘效果</w:t>
      </w:r>
      <w:r>
        <w:rPr>
          <w:rFonts w:hint="eastAsia" w:ascii="宋体" w:hAnsi="宋体"/>
          <w:color w:val="000000" w:themeColor="text1"/>
          <w:sz w:val="28"/>
          <w:szCs w:val="28"/>
          <w:highlight w:val="none"/>
          <w:lang w:eastAsia="zh-CN"/>
          <w14:textFill>
            <w14:solidFill>
              <w14:schemeClr w14:val="tx1"/>
            </w14:solidFill>
          </w14:textFill>
        </w:rPr>
        <w:t>环保达标、改善现场</w:t>
      </w:r>
      <w:r>
        <w:rPr>
          <w:rFonts w:hint="eastAsia" w:ascii="宋体" w:hAnsi="宋体"/>
          <w:color w:val="000000" w:themeColor="text1"/>
          <w:sz w:val="28"/>
          <w:szCs w:val="28"/>
          <w:highlight w:val="none"/>
          <w14:textFill>
            <w14:solidFill>
              <w14:schemeClr w14:val="tx1"/>
            </w14:solidFill>
          </w14:textFill>
        </w:rPr>
        <w:t>环境，本项目拟增加干雾抑尘装置两套（每个转运站各设一套干雾抑尘装置）。</w:t>
      </w:r>
    </w:p>
    <w:p>
      <w:pPr>
        <w:adjustRightInd w:val="0"/>
        <w:snapToGrid w:val="0"/>
        <w:spacing w:line="360" w:lineRule="auto"/>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三、使用要求</w:t>
      </w:r>
    </w:p>
    <w:p>
      <w:pPr>
        <w:adjustRightInd w:val="0"/>
        <w:snapToGrid w:val="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1、设备名称：干雾抑尘装置。</w:t>
      </w:r>
    </w:p>
    <w:p>
      <w:pPr>
        <w:adjustRightInd w:val="0"/>
        <w:snapToGrid w:val="0"/>
        <w:spacing w:line="360" w:lineRule="auto"/>
        <w:rPr>
          <w:rFonts w:hint="eastAsia" w:ascii="宋体" w:hAnsi="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、数量：2套（7#、8#转运站各设一套干雾抑尘装置）</w:t>
      </w:r>
      <w:r>
        <w:rPr>
          <w:rFonts w:hint="eastAsia" w:ascii="宋体" w:hAnsi="宋体"/>
          <w:color w:val="000000" w:themeColor="text1"/>
          <w:sz w:val="28"/>
          <w:szCs w:val="28"/>
          <w:highlight w:val="none"/>
          <w:lang w:eastAsia="zh-CN"/>
          <w14:textFill>
            <w14:solidFill>
              <w14:schemeClr w14:val="tx1"/>
            </w14:solidFill>
          </w14:textFill>
        </w:rPr>
        <w:t>。</w:t>
      </w:r>
    </w:p>
    <w:p>
      <w:pPr>
        <w:adjustRightInd w:val="0"/>
        <w:snapToGrid w:val="0"/>
        <w:spacing w:line="36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3</w:t>
      </w:r>
      <w:r>
        <w:rPr>
          <w:rFonts w:hint="eastAsia" w:ascii="宋体" w:hAnsi="宋体"/>
          <w:color w:val="000000" w:themeColor="text1"/>
          <w:sz w:val="28"/>
          <w:szCs w:val="28"/>
          <w:highlight w:val="none"/>
          <w14:textFill>
            <w14:solidFill>
              <w14:schemeClr w14:val="tx1"/>
            </w14:solidFill>
          </w14:textFill>
        </w:rPr>
        <w:t>、使用地点：7#、8#转运</w:t>
      </w:r>
      <w:r>
        <w:rPr>
          <w:rFonts w:hint="eastAsia" w:ascii="宋体" w:hAnsi="宋体"/>
          <w:color w:val="000000" w:themeColor="text1"/>
          <w:sz w:val="28"/>
          <w:szCs w:val="28"/>
          <w:highlight w:val="none"/>
          <w:shd w:val="clear" w:color="auto" w:fill="auto"/>
          <w14:textFill>
            <w14:solidFill>
              <w14:schemeClr w14:val="tx1"/>
            </w14:solidFill>
          </w14:textFill>
        </w:rPr>
        <w:t>站皮带</w:t>
      </w:r>
      <w:r>
        <w:rPr>
          <w:rFonts w:hint="eastAsia" w:ascii="宋体" w:hAnsi="宋体"/>
          <w:color w:val="000000" w:themeColor="text1"/>
          <w:sz w:val="28"/>
          <w:szCs w:val="28"/>
          <w:highlight w:val="none"/>
          <w14:textFill>
            <w14:solidFill>
              <w14:schemeClr w14:val="tx1"/>
            </w14:solidFill>
          </w14:textFill>
        </w:rPr>
        <w:t>转接点</w:t>
      </w:r>
      <w:r>
        <w:rPr>
          <w:rFonts w:hint="eastAsia" w:ascii="宋体" w:hAnsi="宋体"/>
          <w:color w:val="000000" w:themeColor="text1"/>
          <w:sz w:val="28"/>
          <w:szCs w:val="28"/>
          <w:highlight w:val="none"/>
          <w:shd w:val="clear" w:color="auto" w:fill="auto"/>
          <w14:textFill>
            <w14:solidFill>
              <w14:schemeClr w14:val="tx1"/>
            </w14:solidFill>
          </w14:textFill>
        </w:rPr>
        <w:t>。</w:t>
      </w:r>
    </w:p>
    <w:p>
      <w:pPr>
        <w:adjustRightInd w:val="0"/>
        <w:snapToGrid w:val="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4</w:t>
      </w:r>
      <w:r>
        <w:rPr>
          <w:rFonts w:hint="eastAsia" w:ascii="宋体" w:hAnsi="宋体"/>
          <w:color w:val="000000" w:themeColor="text1"/>
          <w:sz w:val="28"/>
          <w:szCs w:val="28"/>
          <w:highlight w:val="none"/>
          <w14:textFill>
            <w14:solidFill>
              <w14:schemeClr w14:val="tx1"/>
            </w14:solidFill>
          </w14:textFill>
        </w:rPr>
        <w:t>、使用性质:各工位同时工作。</w:t>
      </w:r>
    </w:p>
    <w:p>
      <w:pPr>
        <w:adjustRightInd w:val="0"/>
        <w:snapToGrid w:val="0"/>
        <w:spacing w:line="360" w:lineRule="auto"/>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5、矿料种类：</w:t>
      </w:r>
      <w:r>
        <w:rPr>
          <w:rFonts w:hint="eastAsia" w:ascii="宋体" w:hAnsi="宋体"/>
          <w:color w:val="000000" w:themeColor="text1"/>
          <w:sz w:val="28"/>
          <w:szCs w:val="28"/>
          <w:highlight w:val="none"/>
          <w14:textFill>
            <w14:solidFill>
              <w14:schemeClr w14:val="tx1"/>
            </w14:solidFill>
          </w14:textFill>
        </w:rPr>
        <w:t>精粉、富粉、溶剂、焦粉、无烟煤。</w:t>
      </w:r>
    </w:p>
    <w:p>
      <w:pPr>
        <w:adjustRightInd w:val="0"/>
        <w:snapToGrid w:val="0"/>
        <w:spacing w:line="360" w:lineRule="auto"/>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四、招标方提供的能源介质参数</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1、水源：悬浮物≤50 mg/L，PH值6.5～9，总硬度≤450mg/L，压力：0.1～0.2MPa。</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2、电源：380V。AC380V/50HZ的三相四线电源。</w:t>
      </w:r>
    </w:p>
    <w:p>
      <w:pPr>
        <w:adjustRightInd w:val="0"/>
        <w:snapToGrid w:val="0"/>
        <w:spacing w:line="360" w:lineRule="auto"/>
        <w:outlineLvl w:val="0"/>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 xml:space="preserve">五、主要设备规格参数 </w:t>
      </w:r>
    </w:p>
    <w:p>
      <w:pPr>
        <w:adjustRightInd w:val="0"/>
        <w:snapToGrid w:val="0"/>
        <w:spacing w:line="360" w:lineRule="auto"/>
        <w:ind w:firstLine="560" w:firstLineChars="200"/>
        <w:outlineLvl w:val="0"/>
        <w:rPr>
          <w:rFonts w:ascii="宋体" w:hAnsi="宋体"/>
          <w:b/>
          <w:bCs/>
          <w:color w:val="000000" w:themeColor="text1"/>
          <w:sz w:val="32"/>
          <w:szCs w:val="32"/>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干雾抑尘装置</w:t>
      </w:r>
      <w:r>
        <w:rPr>
          <w:rFonts w:hint="eastAsia" w:hAnsi="宋体"/>
          <w:color w:val="000000" w:themeColor="text1"/>
          <w:sz w:val="28"/>
          <w:szCs w:val="28"/>
          <w:highlight w:val="none"/>
          <w:lang w:eastAsia="zh-CN"/>
          <w14:textFill>
            <w14:solidFill>
              <w14:schemeClr w14:val="tx1"/>
            </w14:solidFill>
          </w14:textFill>
        </w:rPr>
        <w:t>主要</w:t>
      </w:r>
      <w:r>
        <w:rPr>
          <w:rFonts w:hint="eastAsia" w:hAnsi="宋体"/>
          <w:color w:val="000000" w:themeColor="text1"/>
          <w:sz w:val="28"/>
          <w:szCs w:val="28"/>
          <w:highlight w:val="none"/>
          <w14:textFill>
            <w14:solidFill>
              <w14:schemeClr w14:val="tx1"/>
            </w14:solidFill>
          </w14:textFill>
        </w:rPr>
        <w:t>由微米级干雾机、万向节总成、水气分配器、配电箱（柜）、螺杆式空压机、增压泵、水/气/电控连接管线及附件</w:t>
      </w:r>
      <w:r>
        <w:rPr>
          <w:rFonts w:hint="eastAsia" w:hAnsi="宋体"/>
          <w:color w:val="000000" w:themeColor="text1"/>
          <w:sz w:val="28"/>
          <w:szCs w:val="28"/>
          <w:highlight w:val="none"/>
          <w:lang w:eastAsia="zh-CN"/>
          <w14:textFill>
            <w14:solidFill>
              <w14:schemeClr w14:val="tx1"/>
            </w14:solidFill>
          </w14:textFill>
        </w:rPr>
        <w:t>组成</w:t>
      </w:r>
      <w:r>
        <w:rPr>
          <w:rFonts w:hint="eastAsia" w:hAnsi="宋体"/>
          <w:color w:val="000000" w:themeColor="text1"/>
          <w:sz w:val="28"/>
          <w:szCs w:val="28"/>
          <w:highlight w:val="none"/>
          <w14:textFill>
            <w14:solidFill>
              <w14:schemeClr w14:val="tx1"/>
            </w14:solidFill>
          </w14:textFill>
        </w:rPr>
        <w:t>。</w:t>
      </w:r>
      <w:r>
        <w:rPr>
          <w:rFonts w:hint="eastAsia" w:ascii="宋体" w:hAnsi="宋体"/>
          <w:b/>
          <w:bCs/>
          <w:color w:val="000000" w:themeColor="text1"/>
          <w:sz w:val="32"/>
          <w:szCs w:val="32"/>
          <w:highlight w:val="none"/>
          <w14:textFill>
            <w14:solidFill>
              <w14:schemeClr w14:val="tx1"/>
            </w14:solidFill>
          </w14:textFill>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1418"/>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名称</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数量</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微米级干雾机</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2套</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采用模块化技术，</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全自动PLC控制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万向节总成（喷嘴）</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不少于114个</w:t>
            </w:r>
          </w:p>
        </w:tc>
        <w:tc>
          <w:tcPr>
            <w:tcW w:w="5225" w:type="dxa"/>
            <w:vAlign w:val="center"/>
          </w:tcPr>
          <w:p>
            <w:pPr>
              <w:widowControl/>
              <w:adjustRightInd w:val="0"/>
              <w:snapToGrid w:val="0"/>
              <w:spacing w:line="360" w:lineRule="auto"/>
              <w:ind w:firstLine="420" w:firstLineChars="200"/>
              <w:jc w:val="left"/>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喷嘴材质：304不锈钢</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各带式输送头部密封罩安装4个万向节总成，配置1套水气分配器；尾部受料导料槽上安装8个万向节总成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配置1套水气分配器。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水气分配器</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19套</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配电箱</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投标方确定</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自动反冲洗过滤器</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2套</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根据招标方提供的水质配置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螺杆式空气压缩机</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2台</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配置不低于</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45kW</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0.8MPa</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储气罐</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2台</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螺杆机空压机配套、</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1.5m³、</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满足系统要求、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加药装置</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2台</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抑尘药剂</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100kg</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调试用，</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无毒无害，无腐蚀、不粘结，对设备无损害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增压泵</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2台</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配置不低于</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Q=1m³/h</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H=60m</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通风管道及辅材</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2套</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满足整套系统正常运行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阀门、仪表</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2批</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满足整套系统正常运行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水气连接管线</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2批</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满足整套系统正常运行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电缆及穿线管</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2批</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满足整套系统正常运行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密封罩</w:t>
            </w:r>
          </w:p>
        </w:tc>
        <w:tc>
          <w:tcPr>
            <w:tcW w:w="1418" w:type="dxa"/>
            <w:vAlign w:val="center"/>
          </w:tcPr>
          <w:p>
            <w:pPr>
              <w:spacing w:line="440" w:lineRule="exact"/>
              <w:ind w:firstLine="420" w:firstLineChars="200"/>
              <w:jc w:val="both"/>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19套</w:t>
            </w: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vAlign w:val="center"/>
          </w:tcPr>
          <w:p>
            <w:pPr>
              <w:spacing w:line="440" w:lineRule="exact"/>
              <w:jc w:val="center"/>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其他附属设施</w:t>
            </w:r>
          </w:p>
        </w:tc>
        <w:tc>
          <w:tcPr>
            <w:tcW w:w="1418" w:type="dxa"/>
            <w:vAlign w:val="center"/>
          </w:tcPr>
          <w:p>
            <w:pPr>
              <w:spacing w:line="440" w:lineRule="exact"/>
              <w:jc w:val="center"/>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p>
        </w:tc>
        <w:tc>
          <w:tcPr>
            <w:tcW w:w="5225" w:type="dxa"/>
            <w:vAlign w:val="center"/>
          </w:tcPr>
          <w:p>
            <w:pPr>
              <w:spacing w:line="440" w:lineRule="exact"/>
              <w:jc w:val="center"/>
              <w:rPr>
                <w:rFonts w:hint="eastAsia" w:asciiTheme="majorEastAsia" w:hAnsiTheme="majorEastAsia" w:eastAsiaTheme="majorEastAsia" w:cstheme="majorEastAsia"/>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满足整套系统正常运行</w:t>
            </w:r>
          </w:p>
        </w:tc>
      </w:tr>
    </w:tbl>
    <w:p>
      <w:pPr>
        <w:shd w:val="clear" w:color="auto" w:fill="FFFFFF" w:themeFill="background1"/>
        <w:tabs>
          <w:tab w:val="left" w:pos="840"/>
        </w:tabs>
        <w:adjustRightInd w:val="0"/>
        <w:snapToGrid w:val="0"/>
        <w:spacing w:line="40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bookmarkStart w:id="1" w:name="_Toc388435484"/>
      <w:bookmarkStart w:id="2" w:name="_Toc514938882"/>
      <w:bookmarkStart w:id="3" w:name="_Toc307382981"/>
      <w:r>
        <w:rPr>
          <w:rFonts w:hint="eastAsia" w:ascii="Times New Roman" w:hAnsi="Times New Roman" w:cs="Times New Roman"/>
          <w:color w:val="000000" w:themeColor="text1"/>
          <w:sz w:val="24"/>
          <w:highlight w:val="none"/>
          <w:lang w:eastAsia="zh-CN"/>
          <w14:textFill>
            <w14:solidFill>
              <w14:schemeClr w14:val="tx1"/>
            </w14:solidFill>
          </w14:textFill>
        </w:rPr>
        <w:t>投标方负责整套系统</w:t>
      </w:r>
      <w:r>
        <w:rPr>
          <w:rFonts w:hint="eastAsia" w:cs="Times New Roman"/>
          <w:color w:val="000000" w:themeColor="text1"/>
          <w:sz w:val="24"/>
          <w:highlight w:val="none"/>
          <w:lang w:eastAsia="zh-CN"/>
          <w14:textFill>
            <w14:solidFill>
              <w14:schemeClr w14:val="tx1"/>
            </w14:solidFill>
          </w14:textFill>
        </w:rPr>
        <w:t>的完整性及使用性。</w:t>
      </w:r>
      <w:r>
        <w:rPr>
          <w:rFonts w:hint="eastAsia" w:ascii="Times New Roman" w:hAnsi="Times New Roman" w:cs="Times New Roman"/>
          <w:color w:val="000000" w:themeColor="text1"/>
          <w:sz w:val="24"/>
          <w:highlight w:val="none"/>
          <w14:textFill>
            <w14:solidFill>
              <w14:schemeClr w14:val="tx1"/>
            </w14:solidFill>
          </w14:textFill>
        </w:rPr>
        <w:t>本招标文件未涉及但又属于本系统正常运行必备的部分，由投标方无条件、无偿补齐，且不发生任何费用。</w:t>
      </w:r>
    </w:p>
    <w:p>
      <w:pPr>
        <w:adjustRightInd w:val="0"/>
        <w:snapToGrid w:val="0"/>
        <w:spacing w:line="360" w:lineRule="auto"/>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六、技术要求</w:t>
      </w:r>
    </w:p>
    <w:bookmarkEnd w:id="1"/>
    <w:bookmarkEnd w:id="2"/>
    <w:bookmarkEnd w:id="3"/>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1、投标方需到招标方现场考察实际运行情况，根据招标方现场情况合理布置设备，对招标方干雾抑尘提出合理有效的总体布置方案。</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2、干雾机壳体采用304不锈钢材质，箱体板厚不低于2mm，防护等级为IP</w:t>
      </w:r>
      <w:r>
        <w:rPr>
          <w:rFonts w:ascii="宋体" w:hAnsi="宋体"/>
          <w:color w:val="000000" w:themeColor="text1"/>
          <w:sz w:val="28"/>
          <w:szCs w:val="28"/>
          <w:highlight w:val="none"/>
          <w14:textFill>
            <w14:solidFill>
              <w14:schemeClr w14:val="tx1"/>
            </w14:solidFill>
          </w14:textFill>
        </w:rPr>
        <w:t>55</w:t>
      </w:r>
      <w:r>
        <w:rPr>
          <w:rFonts w:hint="eastAsia" w:ascii="宋体" w:hAnsi="宋体"/>
          <w:color w:val="000000" w:themeColor="text1"/>
          <w:sz w:val="28"/>
          <w:szCs w:val="28"/>
          <w:highlight w:val="none"/>
          <w14:textFill>
            <w14:solidFill>
              <w14:schemeClr w14:val="tx1"/>
            </w14:solidFill>
          </w14:textFill>
        </w:rPr>
        <w:t>。设备内部所有管线，都采用304不锈钢材料或合金铜材料。操作方式为自动（连锁）和手动两种模式，面板上配触摸屏。不接受一体机(即将主机与空压机放在同一壳体里)。微米级干雾抑尘系统具有吹扫排水防冻功能。喷雾时间及管道吹扫时间</w:t>
      </w:r>
      <w:r>
        <w:rPr>
          <w:rFonts w:hint="eastAsia" w:ascii="宋体" w:hAnsi="宋体"/>
          <w:color w:val="000000" w:themeColor="text1"/>
          <w:sz w:val="28"/>
          <w:szCs w:val="28"/>
          <w:highlight w:val="none"/>
          <w:lang w:eastAsia="zh-CN"/>
          <w14:textFill>
            <w14:solidFill>
              <w14:schemeClr w14:val="tx1"/>
            </w14:solidFill>
          </w14:textFill>
        </w:rPr>
        <w:t>可设置</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eastAsia="zh-CN"/>
          <w14:textFill>
            <w14:solidFill>
              <w14:schemeClr w14:val="tx1"/>
            </w14:solidFill>
          </w14:textFill>
        </w:rPr>
        <w:t>具备工作状态</w:t>
      </w:r>
      <w:r>
        <w:rPr>
          <w:rFonts w:hint="eastAsia" w:ascii="宋体" w:hAnsi="宋体"/>
          <w:color w:val="000000" w:themeColor="text1"/>
          <w:sz w:val="28"/>
          <w:szCs w:val="28"/>
          <w:highlight w:val="none"/>
          <w14:textFill>
            <w14:solidFill>
              <w14:schemeClr w14:val="tx1"/>
            </w14:solidFill>
          </w14:textFill>
        </w:rPr>
        <w:t>信号</w:t>
      </w:r>
      <w:r>
        <w:rPr>
          <w:rFonts w:hint="eastAsia" w:ascii="宋体" w:hAnsi="宋体"/>
          <w:color w:val="000000" w:themeColor="text1"/>
          <w:sz w:val="28"/>
          <w:szCs w:val="28"/>
          <w:highlight w:val="none"/>
          <w:lang w:eastAsia="zh-CN"/>
          <w14:textFill>
            <w14:solidFill>
              <w14:schemeClr w14:val="tx1"/>
            </w14:solidFill>
          </w14:textFill>
        </w:rPr>
        <w:t>远传功能</w:t>
      </w:r>
      <w:r>
        <w:rPr>
          <w:rFonts w:hint="eastAsia" w:ascii="宋体" w:hAnsi="宋体"/>
          <w:color w:val="000000" w:themeColor="text1"/>
          <w:sz w:val="28"/>
          <w:szCs w:val="28"/>
          <w:highlight w:val="none"/>
          <w14:textFill>
            <w14:solidFill>
              <w14:schemeClr w14:val="tx1"/>
            </w14:solidFill>
          </w14:textFill>
        </w:rPr>
        <w:t>。</w:t>
      </w:r>
    </w:p>
    <w:p>
      <w:pPr>
        <w:tabs>
          <w:tab w:val="left" w:pos="935"/>
        </w:tabs>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t>干雾抑尘装置开启与落料工位进行连锁工作，</w:t>
      </w:r>
      <w:r>
        <w:rPr>
          <w:rFonts w:hint="eastAsia" w:ascii="宋体" w:hAnsi="宋体"/>
          <w:color w:val="000000" w:themeColor="text1"/>
          <w:sz w:val="28"/>
          <w:szCs w:val="28"/>
          <w:highlight w:val="none"/>
          <w14:textFill>
            <w14:solidFill>
              <w14:schemeClr w14:val="tx1"/>
            </w14:solidFill>
          </w14:textFill>
        </w:rPr>
        <w:t>在自动操作模式时，可自动接收远程触发信号启动或停止喷雾；干雾抑尘装置都应具备向远方反馈系统内部各种报警及运行信号的功能，应包括开机</w:t>
      </w:r>
      <w:r>
        <w:rPr>
          <w:rFonts w:hint="eastAsia" w:ascii="宋体" w:hAnsi="宋体" w:cs="宋体"/>
          <w:color w:val="000000" w:themeColor="text1"/>
          <w:sz w:val="28"/>
          <w:szCs w:val="28"/>
          <w:highlight w:val="none"/>
          <w14:textFill>
            <w14:solidFill>
              <w14:schemeClr w14:val="tx1"/>
            </w14:solidFill>
          </w14:textFill>
        </w:rPr>
        <w:t>、关机、过滤器堵塞、气压低、水压低、干雾抑尘装置自动/手动运行状</w:t>
      </w:r>
      <w:r>
        <w:rPr>
          <w:rFonts w:hint="eastAsia" w:ascii="宋体" w:hAnsi="宋体"/>
          <w:color w:val="000000" w:themeColor="text1"/>
          <w:sz w:val="28"/>
          <w:szCs w:val="28"/>
          <w:highlight w:val="none"/>
          <w14:textFill>
            <w14:solidFill>
              <w14:schemeClr w14:val="tx1"/>
            </w14:solidFill>
          </w14:textFill>
        </w:rPr>
        <w:t>态指示等信号。</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4、采用螺杆式空压机</w:t>
      </w:r>
      <w:r>
        <w:rPr>
          <w:rFonts w:hint="eastAsia" w:ascii="宋体" w:hAnsi="宋体"/>
          <w:color w:val="000000" w:themeColor="text1"/>
          <w:sz w:val="28"/>
          <w:szCs w:val="28"/>
          <w:highlight w:val="none"/>
          <w:lang w:eastAsia="zh-CN"/>
          <w14:textFill>
            <w14:solidFill>
              <w14:schemeClr w14:val="tx1"/>
            </w14:solidFill>
          </w14:textFill>
        </w:rPr>
        <w:t>，进口知名品牌</w:t>
      </w:r>
      <w:r>
        <w:rPr>
          <w:rFonts w:hint="eastAsia" w:ascii="宋体" w:hAnsi="宋体"/>
          <w:color w:val="000000" w:themeColor="text1"/>
          <w:sz w:val="28"/>
          <w:szCs w:val="28"/>
          <w:highlight w:val="none"/>
          <w14:textFill>
            <w14:solidFill>
              <w14:schemeClr w14:val="tx1"/>
            </w14:solidFill>
          </w14:textFill>
        </w:rPr>
        <w:t>，箱式结构，具有高效节能、运行安全可靠、耐用、噪音低、结构紧凑、技术参数调节方便等特点；采用微电脑控制、液晶显示。空气压缩机系统带有空气滤清器阻塞、油过滤器阻塞、油分离器阻塞、温度过高、电流过载等状态报警信号，所有信号可通过人机界面显示。</w:t>
      </w:r>
    </w:p>
    <w:p>
      <w:pPr>
        <w:adjustRightInd w:val="0"/>
        <w:snapToGrid w:val="0"/>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5、整套喷嘴为耐腐蚀不锈钢</w:t>
      </w:r>
      <w:r>
        <w:rPr>
          <w:rFonts w:hint="eastAsia" w:ascii="宋体" w:hAnsi="宋体"/>
          <w:color w:val="000000" w:themeColor="text1"/>
          <w:sz w:val="28"/>
          <w:szCs w:val="28"/>
          <w:highlight w:val="none"/>
          <w:lang w:eastAsia="zh-CN"/>
          <w14:textFill>
            <w14:solidFill>
              <w14:schemeClr w14:val="tx1"/>
            </w14:solidFill>
          </w14:textFill>
        </w:rPr>
        <w:t>材质，要求为棒材加工件</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eastAsia="zh-CN"/>
          <w14:textFill>
            <w14:solidFill>
              <w14:schemeClr w14:val="tx1"/>
            </w14:solidFill>
          </w14:textFill>
        </w:rPr>
        <w:t>并提供</w:t>
      </w:r>
      <w:r>
        <w:rPr>
          <w:rFonts w:hint="eastAsia" w:ascii="宋体" w:hAnsi="宋体"/>
          <w:color w:val="000000" w:themeColor="text1"/>
          <w:sz w:val="28"/>
          <w:szCs w:val="28"/>
          <w:highlight w:val="none"/>
          <w14:textFill>
            <w14:solidFill>
              <w14:schemeClr w14:val="tx1"/>
            </w14:solidFill>
          </w14:textFill>
        </w:rPr>
        <w:t>水雾颗粒10微米以</w:t>
      </w:r>
      <w:r>
        <w:rPr>
          <w:rFonts w:hint="eastAsia" w:ascii="宋体" w:hAnsi="宋体"/>
          <w:color w:val="000000" w:themeColor="text1"/>
          <w:sz w:val="28"/>
          <w:szCs w:val="28"/>
          <w:highlight w:val="none"/>
          <w:lang w:eastAsia="zh-CN"/>
          <w14:textFill>
            <w14:solidFill>
              <w14:schemeClr w14:val="tx1"/>
            </w14:solidFill>
          </w14:textFill>
        </w:rPr>
        <w:t>下</w:t>
      </w:r>
      <w:r>
        <w:rPr>
          <w:rFonts w:hint="eastAsia" w:ascii="宋体" w:hAnsi="宋体"/>
          <w:color w:val="000000" w:themeColor="text1"/>
          <w:sz w:val="28"/>
          <w:szCs w:val="28"/>
          <w:highlight w:val="none"/>
          <w14:textFill>
            <w14:solidFill>
              <w14:schemeClr w14:val="tx1"/>
            </w14:solidFill>
          </w14:textFill>
        </w:rPr>
        <w:t>的检测报告。</w:t>
      </w:r>
    </w:p>
    <w:p>
      <w:pPr>
        <w:pStyle w:val="4"/>
        <w:adjustRightInd w:val="0"/>
        <w:snapToGrid w:val="0"/>
        <w:ind w:firstLine="560" w:firstLineChars="200"/>
        <w:rPr>
          <w:rFonts w:ascii="宋体"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6</w:t>
      </w:r>
      <w:r>
        <w:rPr>
          <w:rFonts w:hint="eastAsia" w:ascii="宋体" w:hAnsi="宋体"/>
          <w:color w:val="000000" w:themeColor="text1"/>
          <w:sz w:val="28"/>
          <w:szCs w:val="28"/>
          <w:highlight w:val="none"/>
          <w14:textFill>
            <w14:solidFill>
              <w14:schemeClr w14:val="tx1"/>
            </w14:solidFill>
          </w14:textFill>
        </w:rPr>
        <w:t>、水气管路采用无缝钢管，</w:t>
      </w:r>
      <w:r>
        <w:rPr>
          <w:rFonts w:hint="eastAsia" w:hAnsi="宋体"/>
          <w:color w:val="000000" w:themeColor="text1"/>
          <w:sz w:val="28"/>
          <w:szCs w:val="28"/>
          <w:highlight w:val="none"/>
          <w14:textFill>
            <w14:solidFill>
              <w14:schemeClr w14:val="tx1"/>
            </w14:solidFill>
          </w14:textFill>
        </w:rPr>
        <w:t>系统中采用的钢管</w:t>
      </w:r>
      <w:r>
        <w:rPr>
          <w:rFonts w:hint="eastAsia" w:hAnsi="宋体"/>
          <w:color w:val="000000" w:themeColor="text1"/>
          <w:sz w:val="28"/>
          <w:szCs w:val="28"/>
          <w:highlight w:val="none"/>
          <w:lang w:eastAsia="zh-CN"/>
          <w14:textFill>
            <w14:solidFill>
              <w14:schemeClr w14:val="tx1"/>
            </w14:solidFill>
          </w14:textFill>
        </w:rPr>
        <w:t>材</w:t>
      </w:r>
      <w:r>
        <w:rPr>
          <w:rFonts w:hint="eastAsia" w:hAnsi="宋体"/>
          <w:color w:val="000000" w:themeColor="text1"/>
          <w:sz w:val="28"/>
          <w:szCs w:val="28"/>
          <w:highlight w:val="none"/>
          <w14:textFill>
            <w14:solidFill>
              <w14:schemeClr w14:val="tx1"/>
            </w14:solidFill>
          </w14:textFill>
        </w:rPr>
        <w:t>及管件</w:t>
      </w:r>
      <w:r>
        <w:rPr>
          <w:rFonts w:hint="eastAsia"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阀门应选用大厂优质产品，质量符合相关国标要求。</w:t>
      </w:r>
      <w:r>
        <w:rPr>
          <w:rFonts w:hint="eastAsia" w:ascii="宋体" w:hAnsi="宋体"/>
          <w:color w:val="000000" w:themeColor="text1"/>
          <w:sz w:val="28"/>
          <w:szCs w:val="28"/>
          <w:highlight w:val="none"/>
          <w14:textFill>
            <w14:solidFill>
              <w14:schemeClr w14:val="tx1"/>
            </w14:solidFill>
          </w14:textFill>
        </w:rPr>
        <w:t>管道支架热浸锌处理。</w:t>
      </w:r>
    </w:p>
    <w:p>
      <w:pPr>
        <w:adjustRightInd w:val="0"/>
        <w:snapToGrid w:val="0"/>
        <w:spacing w:line="360" w:lineRule="auto"/>
        <w:ind w:firstLine="560" w:firstLineChars="200"/>
        <w:rPr>
          <w:rFonts w:hint="eastAsia"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7</w:t>
      </w:r>
      <w:r>
        <w:rPr>
          <w:rFonts w:hint="eastAsia" w:ascii="宋体" w:hAnsi="宋体"/>
          <w:color w:val="000000" w:themeColor="text1"/>
          <w:sz w:val="28"/>
          <w:szCs w:val="28"/>
          <w:highlight w:val="none"/>
          <w14:textFill>
            <w14:solidFill>
              <w14:schemeClr w14:val="tx1"/>
            </w14:solidFill>
          </w14:textFill>
        </w:rPr>
        <w:t>、招标方不接受带有试制性质的部件</w:t>
      </w:r>
      <w:r>
        <w:rPr>
          <w:rFonts w:hint="eastAsia" w:ascii="宋体"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严禁采用国家公布的淘汰产品。</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8、</w:t>
      </w:r>
      <w:r>
        <w:rPr>
          <w:rFonts w:hint="eastAsia" w:hAnsi="宋体"/>
          <w:color w:val="000000" w:themeColor="text1"/>
          <w:sz w:val="28"/>
          <w:szCs w:val="28"/>
          <w:highlight w:val="none"/>
          <w14:textFill>
            <w14:solidFill>
              <w14:schemeClr w14:val="tx1"/>
            </w14:solidFill>
          </w14:textFill>
        </w:rPr>
        <w:t>配电箱不锈钢3</w:t>
      </w:r>
      <w:r>
        <w:rPr>
          <w:rFonts w:hAnsi="宋体"/>
          <w:color w:val="000000" w:themeColor="text1"/>
          <w:sz w:val="28"/>
          <w:szCs w:val="28"/>
          <w:highlight w:val="none"/>
          <w14:textFill>
            <w14:solidFill>
              <w14:schemeClr w14:val="tx1"/>
            </w14:solidFill>
          </w14:textFill>
        </w:rPr>
        <w:t>04</w:t>
      </w:r>
      <w:r>
        <w:rPr>
          <w:rFonts w:hint="eastAsia" w:hAnsi="宋体"/>
          <w:color w:val="000000" w:themeColor="text1"/>
          <w:sz w:val="28"/>
          <w:szCs w:val="28"/>
          <w:highlight w:val="none"/>
          <w14:textFill>
            <w14:solidFill>
              <w14:schemeClr w14:val="tx1"/>
            </w14:solidFill>
          </w14:textFill>
        </w:rPr>
        <w:t>壳体，箱体板厚不</w:t>
      </w:r>
      <w:r>
        <w:rPr>
          <w:rFonts w:hint="eastAsia" w:hAnsi="宋体" w:cs="Times New Roman"/>
          <w:color w:val="000000" w:themeColor="text1"/>
          <w:sz w:val="28"/>
          <w:szCs w:val="28"/>
          <w:highlight w:val="none"/>
          <w14:textFill>
            <w14:solidFill>
              <w14:schemeClr w14:val="tx1"/>
            </w14:solidFill>
          </w14:textFill>
        </w:rPr>
        <w:t>低于2mm</w:t>
      </w:r>
      <w:r>
        <w:rPr>
          <w:rFonts w:hint="eastAsia" w:hAnsi="宋体" w:cs="Times New Roman"/>
          <w:color w:val="000000" w:themeColor="text1"/>
          <w:sz w:val="28"/>
          <w:szCs w:val="28"/>
          <w:highlight w:val="none"/>
          <w:lang w:eastAsia="zh-CN"/>
          <w14:textFill>
            <w14:solidFill>
              <w14:schemeClr w14:val="tx1"/>
            </w14:solidFill>
          </w14:textFill>
        </w:rPr>
        <w:t>，</w:t>
      </w:r>
      <w:r>
        <w:rPr>
          <w:rFonts w:hint="eastAsia" w:hAnsi="宋体" w:cs="Times New Roman"/>
          <w:color w:val="000000" w:themeColor="text1"/>
          <w:sz w:val="28"/>
          <w:szCs w:val="28"/>
          <w:highlight w:val="none"/>
          <w14:textFill>
            <w14:solidFill>
              <w14:schemeClr w14:val="tx1"/>
            </w14:solidFill>
          </w14:textFill>
        </w:rPr>
        <w:t>防护等级IP55。</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9、</w:t>
      </w:r>
      <w:r>
        <w:rPr>
          <w:rFonts w:hint="eastAsia" w:hAnsi="宋体"/>
          <w:color w:val="000000" w:themeColor="text1"/>
          <w:sz w:val="28"/>
          <w:szCs w:val="28"/>
          <w:highlight w:val="none"/>
          <w14:textFill>
            <w14:solidFill>
              <w14:schemeClr w14:val="tx1"/>
            </w14:solidFill>
          </w14:textFill>
        </w:rPr>
        <w:t>水气分配器为碳钢喷塑</w:t>
      </w:r>
      <w:r>
        <w:rPr>
          <w:rFonts w:hint="eastAsia" w:hAnsi="宋体"/>
          <w:color w:val="000000" w:themeColor="text1"/>
          <w:sz w:val="28"/>
          <w:szCs w:val="28"/>
          <w:highlight w:val="none"/>
          <w:lang w:eastAsia="zh-CN"/>
          <w14:textFill>
            <w14:solidFill>
              <w14:schemeClr w14:val="tx1"/>
            </w14:solidFill>
          </w14:textFill>
        </w:rPr>
        <w:t>或</w:t>
      </w:r>
      <w:r>
        <w:rPr>
          <w:rFonts w:hint="eastAsia" w:hAnsi="宋体"/>
          <w:color w:val="000000" w:themeColor="text1"/>
          <w:sz w:val="28"/>
          <w:szCs w:val="28"/>
          <w:highlight w:val="none"/>
          <w:lang w:val="en-US" w:eastAsia="zh-CN"/>
          <w14:textFill>
            <w14:solidFill>
              <w14:schemeClr w14:val="tx1"/>
            </w14:solidFill>
          </w14:textFill>
        </w:rPr>
        <w:t>304</w:t>
      </w:r>
      <w:r>
        <w:rPr>
          <w:rFonts w:hint="eastAsia" w:hAnsi="宋体"/>
          <w:color w:val="000000" w:themeColor="text1"/>
          <w:sz w:val="28"/>
          <w:szCs w:val="28"/>
          <w:highlight w:val="none"/>
          <w:lang w:eastAsia="zh-CN"/>
          <w14:textFill>
            <w14:solidFill>
              <w14:schemeClr w14:val="tx1"/>
            </w14:solidFill>
          </w14:textFill>
        </w:rPr>
        <w:t>不锈钢</w:t>
      </w:r>
      <w:r>
        <w:rPr>
          <w:rFonts w:hint="eastAsia" w:hAnsi="宋体"/>
          <w:color w:val="000000" w:themeColor="text1"/>
          <w:sz w:val="28"/>
          <w:szCs w:val="28"/>
          <w:highlight w:val="none"/>
          <w14:textFill>
            <w14:solidFill>
              <w14:schemeClr w14:val="tx1"/>
            </w14:solidFill>
          </w14:textFill>
        </w:rPr>
        <w:t>壳体。</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10</w:t>
      </w:r>
      <w:r>
        <w:rPr>
          <w:rFonts w:hint="eastAsia" w:hAnsi="宋体"/>
          <w:color w:val="000000" w:themeColor="text1"/>
          <w:sz w:val="28"/>
          <w:szCs w:val="28"/>
          <w:highlight w:val="none"/>
          <w14:textFill>
            <w14:solidFill>
              <w14:schemeClr w14:val="tx1"/>
            </w14:solidFill>
          </w14:textFill>
        </w:rPr>
        <w:t>、自动反冲洗过滤器壳体、过滤滤芯、滤框、滤网等均为不锈钢材质，满足招标方提供的水质要求。</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11</w:t>
      </w:r>
      <w:r>
        <w:rPr>
          <w:rFonts w:hint="eastAsia" w:hAnsi="宋体"/>
          <w:color w:val="000000" w:themeColor="text1"/>
          <w:sz w:val="28"/>
          <w:szCs w:val="28"/>
          <w:highlight w:val="none"/>
          <w14:textFill>
            <w14:solidFill>
              <w14:schemeClr w14:val="tx1"/>
            </w14:solidFill>
          </w14:textFill>
        </w:rPr>
        <w:t>、水气分配器为碳钢喷塑或304不锈钢壳体。</w:t>
      </w:r>
      <w:r>
        <w:rPr>
          <w:rFonts w:hint="eastAsia" w:hAnsi="宋体"/>
          <w:color w:val="000000" w:themeColor="text1"/>
          <w:sz w:val="28"/>
          <w:szCs w:val="28"/>
          <w:highlight w:val="none"/>
          <w:lang w:eastAsia="zh-CN"/>
          <w14:textFill>
            <w14:solidFill>
              <w14:schemeClr w14:val="tx1"/>
            </w14:solidFill>
          </w14:textFill>
        </w:rPr>
        <w:t>具备</w:t>
      </w:r>
      <w:r>
        <w:rPr>
          <w:rFonts w:hint="eastAsia" w:hAnsi="宋体"/>
          <w:color w:val="000000" w:themeColor="text1"/>
          <w:sz w:val="28"/>
          <w:szCs w:val="28"/>
          <w:highlight w:val="none"/>
          <w14:textFill>
            <w14:solidFill>
              <w14:schemeClr w14:val="tx1"/>
            </w14:solidFill>
          </w14:textFill>
        </w:rPr>
        <w:t>水、气的二次调节</w:t>
      </w:r>
      <w:r>
        <w:rPr>
          <w:rFonts w:hint="eastAsia" w:hAnsi="宋体"/>
          <w:color w:val="000000" w:themeColor="text1"/>
          <w:sz w:val="28"/>
          <w:szCs w:val="28"/>
          <w:highlight w:val="none"/>
          <w:lang w:eastAsia="zh-CN"/>
          <w14:textFill>
            <w14:solidFill>
              <w14:schemeClr w14:val="tx1"/>
            </w14:solidFill>
          </w14:textFill>
        </w:rPr>
        <w:t>功能</w:t>
      </w:r>
      <w:r>
        <w:rPr>
          <w:rFonts w:hint="eastAsia" w:hAnsi="宋体"/>
          <w:color w:val="000000" w:themeColor="text1"/>
          <w:sz w:val="28"/>
          <w:szCs w:val="28"/>
          <w:highlight w:val="none"/>
          <w14:textFill>
            <w14:solidFill>
              <w14:schemeClr w14:val="tx1"/>
            </w14:solidFill>
          </w14:textFill>
        </w:rPr>
        <w:t>，</w:t>
      </w:r>
      <w:r>
        <w:rPr>
          <w:rFonts w:hint="eastAsia" w:hAnsi="宋体"/>
          <w:color w:val="000000" w:themeColor="text1"/>
          <w:sz w:val="28"/>
          <w:szCs w:val="28"/>
          <w:highlight w:val="none"/>
          <w:lang w:eastAsia="zh-CN"/>
          <w14:textFill>
            <w14:solidFill>
              <w14:schemeClr w14:val="tx1"/>
            </w14:solidFill>
          </w14:textFill>
        </w:rPr>
        <w:t>可</w:t>
      </w:r>
      <w:r>
        <w:rPr>
          <w:rFonts w:hint="eastAsia" w:hAnsi="宋体"/>
          <w:color w:val="000000" w:themeColor="text1"/>
          <w:sz w:val="28"/>
          <w:szCs w:val="28"/>
          <w:highlight w:val="none"/>
          <w14:textFill>
            <w14:solidFill>
              <w14:schemeClr w14:val="tx1"/>
            </w14:solidFill>
          </w14:textFill>
        </w:rPr>
        <w:t>通过PLC控制</w:t>
      </w:r>
      <w:r>
        <w:rPr>
          <w:rFonts w:hint="eastAsia" w:hAnsi="宋体"/>
          <w:color w:val="000000" w:themeColor="text1"/>
          <w:sz w:val="28"/>
          <w:szCs w:val="28"/>
          <w:highlight w:val="none"/>
          <w:lang w:eastAsia="zh-CN"/>
          <w14:textFill>
            <w14:solidFill>
              <w14:schemeClr w14:val="tx1"/>
            </w14:solidFill>
          </w14:textFill>
        </w:rPr>
        <w:t>实现启、停功能</w:t>
      </w:r>
      <w:r>
        <w:rPr>
          <w:rFonts w:hint="eastAsia" w:hAnsi="宋体"/>
          <w:color w:val="000000" w:themeColor="text1"/>
          <w:sz w:val="28"/>
          <w:szCs w:val="28"/>
          <w:highlight w:val="none"/>
          <w14:textFill>
            <w14:solidFill>
              <w14:schemeClr w14:val="tx1"/>
            </w14:solidFill>
          </w14:textFill>
        </w:rPr>
        <w:t>。</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12、</w:t>
      </w:r>
      <w:r>
        <w:rPr>
          <w:rFonts w:hint="eastAsia" w:hAnsi="宋体"/>
          <w:color w:val="000000" w:themeColor="text1"/>
          <w:sz w:val="28"/>
          <w:szCs w:val="28"/>
          <w:highlight w:val="none"/>
          <w14:textFill>
            <w14:solidFill>
              <w14:schemeClr w14:val="tx1"/>
            </w14:solidFill>
          </w14:textFill>
        </w:rPr>
        <w:t>干雾抑尘装置</w:t>
      </w:r>
      <w:r>
        <w:rPr>
          <w:rFonts w:hint="eastAsia" w:hAnsi="宋体"/>
          <w:color w:val="000000" w:themeColor="text1"/>
          <w:sz w:val="28"/>
          <w:szCs w:val="28"/>
          <w:highlight w:val="none"/>
          <w:lang w:eastAsia="zh-CN"/>
          <w14:textFill>
            <w14:solidFill>
              <w14:schemeClr w14:val="tx1"/>
            </w14:solidFill>
          </w14:textFill>
        </w:rPr>
        <w:t>运行</w:t>
      </w:r>
      <w:r>
        <w:rPr>
          <w:rFonts w:hint="eastAsia" w:hAnsi="宋体"/>
          <w:color w:val="000000" w:themeColor="text1"/>
          <w:sz w:val="28"/>
          <w:szCs w:val="28"/>
          <w:highlight w:val="none"/>
          <w14:textFill>
            <w14:solidFill>
              <w14:schemeClr w14:val="tx1"/>
            </w14:solidFill>
          </w14:textFill>
        </w:rPr>
        <w:t>后，不造成物料冬季冻结、皮带打滑、跑偏、可正常输送。</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13</w:t>
      </w:r>
      <w:r>
        <w:rPr>
          <w:rFonts w:hint="eastAsia"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干雾抑尘装置投产后应达到的耗水量及增加含水量：单个转载点耗水量小于输煤量的0.05%重量比，增加含水量小于输煤量的0.02%重量比。</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14、</w:t>
      </w:r>
      <w:r>
        <w:rPr>
          <w:rFonts w:hint="eastAsia" w:hAnsi="宋体"/>
          <w:color w:val="000000" w:themeColor="text1"/>
          <w:sz w:val="28"/>
          <w:szCs w:val="28"/>
          <w:highlight w:val="none"/>
          <w14:textFill>
            <w14:solidFill>
              <w14:schemeClr w14:val="tx1"/>
            </w14:solidFill>
          </w14:textFill>
        </w:rPr>
        <w:t>所有控制电缆均采用铜芯电缆，电缆敷设设计中应充分考虑控制电缆的抗干扰。</w:t>
      </w:r>
    </w:p>
    <w:p>
      <w:pPr>
        <w:pStyle w:val="4"/>
        <w:adjustRightInd w:val="0"/>
        <w:snapToGrid w:val="0"/>
        <w:ind w:firstLine="560" w:firstLineChars="20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15、</w:t>
      </w:r>
      <w:r>
        <w:rPr>
          <w:rFonts w:hint="eastAsia" w:hAnsi="宋体"/>
          <w:color w:val="000000" w:themeColor="text1"/>
          <w:sz w:val="28"/>
          <w:szCs w:val="28"/>
          <w:highlight w:val="none"/>
          <w14:textFill>
            <w14:solidFill>
              <w14:schemeClr w14:val="tx1"/>
            </w14:solidFill>
          </w14:textFill>
        </w:rPr>
        <w:t>系统中</w:t>
      </w:r>
      <w:r>
        <w:rPr>
          <w:rFonts w:hint="eastAsia" w:hAnsi="宋体"/>
          <w:color w:val="000000" w:themeColor="text1"/>
          <w:sz w:val="28"/>
          <w:szCs w:val="28"/>
          <w:highlight w:val="none"/>
          <w:lang w:eastAsia="zh-CN"/>
          <w14:textFill>
            <w14:solidFill>
              <w14:schemeClr w14:val="tx1"/>
            </w14:solidFill>
          </w14:textFill>
        </w:rPr>
        <w:t>元器件</w:t>
      </w:r>
      <w:r>
        <w:rPr>
          <w:rFonts w:hint="eastAsia" w:hAnsi="宋体"/>
          <w:color w:val="000000" w:themeColor="text1"/>
          <w:sz w:val="28"/>
          <w:szCs w:val="28"/>
          <w:highlight w:val="none"/>
          <w14:textFill>
            <w14:solidFill>
              <w14:schemeClr w14:val="tx1"/>
            </w14:solidFill>
          </w14:textFill>
        </w:rPr>
        <w:t>PLC</w:t>
      </w:r>
      <w:r>
        <w:rPr>
          <w:rFonts w:hint="eastAsia"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接线端子</w:t>
      </w:r>
      <w:r>
        <w:rPr>
          <w:rFonts w:hint="eastAsia"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低压配电</w:t>
      </w:r>
      <w:r>
        <w:rPr>
          <w:rFonts w:hint="eastAsia" w:hAnsi="宋体"/>
          <w:color w:val="000000" w:themeColor="text1"/>
          <w:sz w:val="28"/>
          <w:szCs w:val="28"/>
          <w:highlight w:val="none"/>
          <w:lang w:eastAsia="zh-CN"/>
          <w14:textFill>
            <w14:solidFill>
              <w14:schemeClr w14:val="tx1"/>
            </w14:solidFill>
          </w14:textFill>
        </w:rPr>
        <w:t>、</w:t>
      </w:r>
      <w:r>
        <w:rPr>
          <w:rFonts w:hint="eastAsia" w:hAnsi="宋体"/>
          <w:color w:val="000000" w:themeColor="text1"/>
          <w:sz w:val="28"/>
          <w:szCs w:val="28"/>
          <w:highlight w:val="none"/>
          <w14:textFill>
            <w14:solidFill>
              <w14:schemeClr w14:val="tx1"/>
            </w14:solidFill>
          </w14:textFill>
        </w:rPr>
        <w:t>中间继电器</w:t>
      </w:r>
      <w:r>
        <w:rPr>
          <w:rFonts w:hint="eastAsia" w:hAnsi="宋体"/>
          <w:color w:val="000000" w:themeColor="text1"/>
          <w:sz w:val="28"/>
          <w:szCs w:val="28"/>
          <w:highlight w:val="none"/>
          <w:lang w:eastAsia="zh-CN"/>
          <w14:textFill>
            <w14:solidFill>
              <w14:schemeClr w14:val="tx1"/>
            </w14:solidFill>
          </w14:textFill>
        </w:rPr>
        <w:t>、等</w:t>
      </w:r>
      <w:r>
        <w:rPr>
          <w:rFonts w:hint="eastAsia" w:hAnsi="宋体"/>
          <w:color w:val="000000" w:themeColor="text1"/>
          <w:sz w:val="28"/>
          <w:szCs w:val="28"/>
          <w:highlight w:val="none"/>
          <w14:textFill>
            <w14:solidFill>
              <w14:schemeClr w14:val="tx1"/>
            </w14:solidFill>
          </w14:textFill>
        </w:rPr>
        <w:t>采用</w:t>
      </w:r>
      <w:r>
        <w:rPr>
          <w:rFonts w:hint="eastAsia" w:hAnsi="宋体"/>
          <w:color w:val="000000" w:themeColor="text1"/>
          <w:sz w:val="28"/>
          <w:szCs w:val="28"/>
          <w:highlight w:val="none"/>
          <w:lang w:eastAsia="zh-CN"/>
          <w14:textFill>
            <w14:solidFill>
              <w14:schemeClr w14:val="tx1"/>
            </w14:solidFill>
          </w14:textFill>
        </w:rPr>
        <w:t>一线进口品牌</w:t>
      </w:r>
      <w:r>
        <w:rPr>
          <w:rFonts w:hint="eastAsia" w:hAnsi="宋体"/>
          <w:color w:val="000000" w:themeColor="text1"/>
          <w:sz w:val="28"/>
          <w:szCs w:val="28"/>
          <w:highlight w:val="none"/>
          <w14:textFill>
            <w14:solidFill>
              <w14:schemeClr w14:val="tx1"/>
            </w14:solidFill>
          </w14:textFill>
        </w:rPr>
        <w:t>；</w:t>
      </w:r>
    </w:p>
    <w:p>
      <w:pPr>
        <w:adjustRightInd w:val="0"/>
        <w:snapToGrid w:val="0"/>
        <w:spacing w:line="360" w:lineRule="auto"/>
        <w:outlineLvl w:val="0"/>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七、考核方案</w:t>
      </w:r>
    </w:p>
    <w:p>
      <w:pPr>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考核内容：</w:t>
      </w:r>
    </w:p>
    <w:p>
      <w:pPr>
        <w:numPr>
          <w:ilvl w:val="0"/>
          <w:numId w:val="2"/>
        </w:numPr>
        <w:spacing w:line="360" w:lineRule="auto"/>
        <w:ind w:left="420" w:leftChars="0" w:firstLine="0" w:firstLineChars="0"/>
        <w:rPr>
          <w:rFonts w:hint="eastAsia"/>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粉尘浓度检测执行GBZ/T 192-2007《工作场所空气中粉尘测定》</w:t>
      </w:r>
      <w:r>
        <w:rPr>
          <w:rFonts w:hint="eastAsia"/>
          <w:color w:val="000000" w:themeColor="text1"/>
          <w:sz w:val="28"/>
          <w:szCs w:val="28"/>
          <w:highlight w:val="none"/>
          <w:lang w:eastAsia="zh-CN"/>
          <w14:textFill>
            <w14:solidFill>
              <w14:schemeClr w14:val="tx1"/>
            </w14:solidFill>
          </w14:textFill>
        </w:rPr>
        <w:t>。</w:t>
      </w:r>
    </w:p>
    <w:p>
      <w:pPr>
        <w:numPr>
          <w:ilvl w:val="0"/>
          <w:numId w:val="2"/>
        </w:numPr>
        <w:spacing w:line="360" w:lineRule="auto"/>
        <w:ind w:left="420" w:leftChars="0" w:firstLine="0" w:firstLineChars="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设备投运后，风速小于等于2 m/s时，</w:t>
      </w:r>
      <w:r>
        <w:rPr>
          <w:rFonts w:hint="eastAsia"/>
          <w:color w:val="000000" w:themeColor="text1"/>
          <w:sz w:val="28"/>
          <w:szCs w:val="28"/>
          <w:highlight w:val="none"/>
          <w:lang w:eastAsia="zh-CN"/>
          <w14:textFill>
            <w14:solidFill>
              <w14:schemeClr w14:val="tx1"/>
            </w14:solidFill>
          </w14:textFill>
        </w:rPr>
        <w:t>落料点半径</w:t>
      </w:r>
      <w:r>
        <w:rPr>
          <w:rFonts w:hint="eastAsia"/>
          <w:color w:val="000000" w:themeColor="text1"/>
          <w:sz w:val="28"/>
          <w:szCs w:val="28"/>
          <w:highlight w:val="none"/>
          <w:lang w:val="en-US" w:eastAsia="zh-CN"/>
          <w14:textFill>
            <w14:solidFill>
              <w14:schemeClr w14:val="tx1"/>
            </w14:solidFill>
          </w14:textFill>
        </w:rPr>
        <w:t>3米内</w:t>
      </w:r>
      <w:r>
        <w:rPr>
          <w:rFonts w:hint="eastAsia"/>
          <w:color w:val="000000" w:themeColor="text1"/>
          <w:sz w:val="28"/>
          <w:szCs w:val="28"/>
          <w:highlight w:val="none"/>
          <w14:textFill>
            <w14:solidFill>
              <w14:schemeClr w14:val="tx1"/>
            </w14:solidFill>
          </w14:textFill>
        </w:rPr>
        <w:t>粉尘浓度小于</w:t>
      </w:r>
      <w:r>
        <w:rPr>
          <w:rFonts w:hint="eastAsia"/>
          <w:color w:val="000000" w:themeColor="text1"/>
          <w:sz w:val="28"/>
          <w:szCs w:val="28"/>
          <w:highlight w:val="none"/>
          <w:lang w:val="en-US" w:eastAsia="zh-CN"/>
          <w14:textFill>
            <w14:solidFill>
              <w14:schemeClr w14:val="tx1"/>
            </w14:solidFill>
          </w14:textFill>
        </w:rPr>
        <w:t>10</w:t>
      </w:r>
      <w:r>
        <w:rPr>
          <w:rFonts w:hint="eastAsia"/>
          <w:color w:val="000000" w:themeColor="text1"/>
          <w:sz w:val="28"/>
          <w:szCs w:val="28"/>
          <w:highlight w:val="none"/>
          <w14:textFill>
            <w14:solidFill>
              <w14:schemeClr w14:val="tx1"/>
            </w14:solidFill>
          </w14:textFill>
        </w:rPr>
        <w:t xml:space="preserve">mg/Nm3。 </w:t>
      </w:r>
    </w:p>
    <w:p>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3、浓度检测由投标方找有资质的第三方（招标方需认可）进行检测。</w:t>
      </w:r>
    </w:p>
    <w:p>
      <w:pPr>
        <w:adjustRightInd w:val="0"/>
        <w:snapToGrid w:val="0"/>
        <w:spacing w:line="360" w:lineRule="auto"/>
        <w:outlineLvl w:val="0"/>
        <w:rPr>
          <w:color w:val="000000" w:themeColor="text1"/>
          <w:sz w:val="28"/>
          <w:szCs w:val="28"/>
          <w:highlight w:val="none"/>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八</w:t>
      </w:r>
      <w:r>
        <w:rPr>
          <w:rFonts w:hint="eastAsia" w:ascii="宋体" w:hAnsi="宋体"/>
          <w:b/>
          <w:bCs/>
          <w:color w:val="000000" w:themeColor="text1"/>
          <w:sz w:val="32"/>
          <w:szCs w:val="32"/>
          <w:highlight w:val="none"/>
          <w14:textFill>
            <w14:solidFill>
              <w14:schemeClr w14:val="tx1"/>
            </w14:solidFill>
          </w14:textFill>
        </w:rPr>
        <w:t>、招标方与投标方负责范围</w:t>
      </w:r>
    </w:p>
    <w:p>
      <w:pPr>
        <w:pStyle w:val="6"/>
        <w:tabs>
          <w:tab w:val="left" w:pos="525"/>
          <w:tab w:val="left" w:pos="3400"/>
        </w:tabs>
        <w:adjustRightInd w:val="0"/>
        <w:snapToGrid w:val="0"/>
        <w:spacing w:line="360" w:lineRule="auto"/>
        <w:ind w:left="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1、招标方负责范围</w:t>
      </w:r>
    </w:p>
    <w:p>
      <w:pPr>
        <w:pStyle w:val="6"/>
        <w:tabs>
          <w:tab w:val="left" w:pos="525"/>
          <w:tab w:val="left" w:pos="3400"/>
        </w:tabs>
        <w:adjustRightInd w:val="0"/>
        <w:snapToGrid w:val="0"/>
        <w:spacing w:line="360" w:lineRule="auto"/>
        <w:ind w:left="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负责整套干雾抑尘装置的</w:t>
      </w:r>
      <w:r>
        <w:rPr>
          <w:rFonts w:hint="eastAsia"/>
          <w:color w:val="000000" w:themeColor="text1"/>
          <w:sz w:val="28"/>
          <w:szCs w:val="28"/>
          <w:highlight w:val="none"/>
          <w:lang w:eastAsia="zh-CN"/>
          <w14:textFill>
            <w14:solidFill>
              <w14:schemeClr w14:val="tx1"/>
            </w14:solidFill>
          </w14:textFill>
        </w:rPr>
        <w:t>设备安装</w:t>
      </w:r>
      <w:r>
        <w:rPr>
          <w:rFonts w:hint="eastAsia"/>
          <w:color w:val="000000" w:themeColor="text1"/>
          <w:sz w:val="28"/>
          <w:szCs w:val="28"/>
          <w:highlight w:val="none"/>
          <w14:textFill>
            <w14:solidFill>
              <w14:schemeClr w14:val="tx1"/>
            </w14:solidFill>
          </w14:textFill>
        </w:rPr>
        <w:t>。</w:t>
      </w:r>
    </w:p>
    <w:p>
      <w:pPr>
        <w:pStyle w:val="6"/>
        <w:tabs>
          <w:tab w:val="left" w:pos="525"/>
          <w:tab w:val="left" w:pos="3400"/>
        </w:tabs>
        <w:adjustRightInd w:val="0"/>
        <w:snapToGrid w:val="0"/>
        <w:spacing w:line="360" w:lineRule="auto"/>
        <w:ind w:left="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负责将干雾抑尘装置需要的能源介质接至主机附近1米处。</w:t>
      </w:r>
    </w:p>
    <w:p>
      <w:pPr>
        <w:pStyle w:val="6"/>
        <w:tabs>
          <w:tab w:val="left" w:pos="525"/>
          <w:tab w:val="left" w:pos="3400"/>
        </w:tabs>
        <w:adjustRightInd w:val="0"/>
        <w:snapToGrid w:val="0"/>
        <w:spacing w:line="360" w:lineRule="auto"/>
        <w:ind w:left="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负责将干雾抑尘装置需要的电源外线接至主机配套的电控箱进线口位置。</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负责干雾抑尘装置系统所需的设备运行信号、料流信号和信号电缆提供至干雾抑尘装置电控系统入口，此电缆的供货与施工由招标方负责；</w:t>
      </w:r>
    </w:p>
    <w:p>
      <w:pPr>
        <w:adjustRightInd w:val="0"/>
        <w:snapToGrid w:val="0"/>
        <w:spacing w:line="360" w:lineRule="auto"/>
        <w:ind w:firstLine="560" w:firstLineChars="200"/>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负责干雾抑尘系统</w:t>
      </w:r>
      <w:r>
        <w:rPr>
          <w:rFonts w:hint="eastAsia"/>
          <w:color w:val="000000" w:themeColor="text1"/>
          <w:sz w:val="28"/>
          <w:szCs w:val="28"/>
          <w:highlight w:val="none"/>
          <w:lang w:eastAsia="zh-CN"/>
          <w14:textFill>
            <w14:solidFill>
              <w14:schemeClr w14:val="tx1"/>
            </w14:solidFill>
          </w14:textFill>
        </w:rPr>
        <w:t>布置场地的</w:t>
      </w:r>
      <w:r>
        <w:rPr>
          <w:rFonts w:hint="eastAsia"/>
          <w:color w:val="000000" w:themeColor="text1"/>
          <w:sz w:val="28"/>
          <w:szCs w:val="28"/>
          <w:highlight w:val="none"/>
          <w14:textFill>
            <w14:solidFill>
              <w14:schemeClr w14:val="tx1"/>
            </w14:solidFill>
          </w14:textFill>
        </w:rPr>
        <w:t>提供</w:t>
      </w:r>
      <w:r>
        <w:rPr>
          <w:rFonts w:hint="eastAsia"/>
          <w:color w:val="000000" w:themeColor="text1"/>
          <w:sz w:val="28"/>
          <w:szCs w:val="28"/>
          <w:highlight w:val="none"/>
          <w:lang w:eastAsia="zh-CN"/>
          <w14:textFill>
            <w14:solidFill>
              <w14:schemeClr w14:val="tx1"/>
            </w14:solidFill>
          </w14:textFill>
        </w:rPr>
        <w:t>。</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w:t>
      </w:r>
      <w:r>
        <w:rPr>
          <w:rFonts w:hint="eastAsia"/>
          <w:color w:val="000000" w:themeColor="text1"/>
          <w:sz w:val="28"/>
          <w:szCs w:val="28"/>
          <w:highlight w:val="none"/>
          <w:lang w:eastAsia="zh-CN"/>
          <w14:textFill>
            <w14:solidFill>
              <w14:schemeClr w14:val="tx1"/>
            </w14:solidFill>
          </w14:textFill>
        </w:rPr>
        <w:t>按照投标方要求对</w:t>
      </w:r>
      <w:r>
        <w:rPr>
          <w:rFonts w:hint="eastAsia"/>
          <w:color w:val="000000" w:themeColor="text1"/>
          <w:sz w:val="28"/>
          <w:szCs w:val="28"/>
          <w:highlight w:val="none"/>
          <w14:textFill>
            <w14:solidFill>
              <w14:schemeClr w14:val="tx1"/>
            </w14:solidFill>
          </w14:textFill>
        </w:rPr>
        <w:t>原皮带头部、尾部的</w:t>
      </w:r>
      <w:r>
        <w:rPr>
          <w:rFonts w:hint="eastAsia"/>
          <w:color w:val="000000" w:themeColor="text1"/>
          <w:sz w:val="28"/>
          <w:szCs w:val="28"/>
          <w:highlight w:val="none"/>
          <w:lang w:eastAsia="zh-CN"/>
          <w14:textFill>
            <w14:solidFill>
              <w14:schemeClr w14:val="tx1"/>
            </w14:solidFill>
          </w14:textFill>
        </w:rPr>
        <w:t>除尘罩、</w:t>
      </w:r>
      <w:r>
        <w:rPr>
          <w:rFonts w:hint="eastAsia"/>
          <w:color w:val="000000" w:themeColor="text1"/>
          <w:sz w:val="28"/>
          <w:szCs w:val="28"/>
          <w:highlight w:val="none"/>
          <w14:textFill>
            <w14:solidFill>
              <w14:schemeClr w14:val="tx1"/>
            </w14:solidFill>
          </w14:textFill>
        </w:rPr>
        <w:t>密封罩、导料槽的拆除。</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eastAsia="zh-CN"/>
          <w14:textFill>
            <w14:solidFill>
              <w14:schemeClr w14:val="tx1"/>
            </w14:solidFill>
          </w14:textFill>
        </w:rPr>
        <w:t>根据投标方提供的设计图纸对</w:t>
      </w:r>
      <w:r>
        <w:rPr>
          <w:rFonts w:hint="eastAsia"/>
          <w:color w:val="000000" w:themeColor="text1"/>
          <w:sz w:val="28"/>
          <w:szCs w:val="28"/>
          <w:highlight w:val="none"/>
          <w14:textFill>
            <w14:solidFill>
              <w14:schemeClr w14:val="tx1"/>
            </w14:solidFill>
          </w14:textFill>
        </w:rPr>
        <w:t>现场密封</w:t>
      </w:r>
      <w:r>
        <w:rPr>
          <w:rFonts w:hint="eastAsia"/>
          <w:color w:val="000000" w:themeColor="text1"/>
          <w:sz w:val="28"/>
          <w:szCs w:val="28"/>
          <w:highlight w:val="none"/>
          <w:lang w:eastAsia="zh-CN"/>
          <w14:textFill>
            <w14:solidFill>
              <w14:schemeClr w14:val="tx1"/>
            </w14:solidFill>
          </w14:textFill>
        </w:rPr>
        <w:t>罩进行</w:t>
      </w:r>
      <w:r>
        <w:rPr>
          <w:rFonts w:hint="eastAsia"/>
          <w:color w:val="000000" w:themeColor="text1"/>
          <w:sz w:val="28"/>
          <w:szCs w:val="28"/>
          <w:highlight w:val="none"/>
          <w14:textFill>
            <w14:solidFill>
              <w14:schemeClr w14:val="tx1"/>
            </w14:solidFill>
          </w14:textFill>
        </w:rPr>
        <w:t>改造，包含密封（防溢裙板、挡尘帘）</w:t>
      </w:r>
      <w:r>
        <w:rPr>
          <w:rFonts w:hint="eastAsia"/>
          <w:color w:val="000000" w:themeColor="text1"/>
          <w:sz w:val="28"/>
          <w:szCs w:val="28"/>
          <w:highlight w:val="none"/>
          <w:lang w:eastAsia="zh-CN"/>
          <w14:textFill>
            <w14:solidFill>
              <w14:schemeClr w14:val="tx1"/>
            </w14:solidFill>
          </w14:textFill>
        </w:rPr>
        <w:t>。</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2、投标方负责范围</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负责整套干雾抑尘装置设计、供货、安装</w:t>
      </w:r>
      <w:r>
        <w:rPr>
          <w:rFonts w:hint="eastAsia"/>
          <w:color w:val="000000" w:themeColor="text1"/>
          <w:sz w:val="28"/>
          <w:szCs w:val="28"/>
          <w:highlight w:val="none"/>
          <w:lang w:eastAsia="zh-CN"/>
          <w14:textFill>
            <w14:solidFill>
              <w14:schemeClr w14:val="tx1"/>
            </w14:solidFill>
          </w14:textFill>
        </w:rPr>
        <w:t>指导</w:t>
      </w:r>
      <w:r>
        <w:rPr>
          <w:rFonts w:hint="eastAsia"/>
          <w:color w:val="000000" w:themeColor="text1"/>
          <w:sz w:val="28"/>
          <w:szCs w:val="28"/>
          <w:highlight w:val="none"/>
          <w14:textFill>
            <w14:solidFill>
              <w14:schemeClr w14:val="tx1"/>
            </w14:solidFill>
          </w14:textFill>
        </w:rPr>
        <w:t>、调试</w:t>
      </w:r>
      <w:r>
        <w:rPr>
          <w:rFonts w:hint="eastAsia"/>
          <w:color w:val="000000" w:themeColor="text1"/>
          <w:sz w:val="28"/>
          <w:szCs w:val="28"/>
          <w:highlight w:val="none"/>
          <w:lang w:eastAsia="zh-CN"/>
          <w14:textFill>
            <w14:solidFill>
              <w14:schemeClr w14:val="tx1"/>
            </w14:solidFill>
          </w14:textFill>
        </w:rPr>
        <w:t>、验收</w:t>
      </w:r>
      <w:r>
        <w:rPr>
          <w:rFonts w:hint="eastAsia"/>
          <w:color w:val="000000" w:themeColor="text1"/>
          <w:sz w:val="28"/>
          <w:szCs w:val="28"/>
          <w:highlight w:val="none"/>
          <w14:textFill>
            <w14:solidFill>
              <w14:schemeClr w14:val="tx1"/>
            </w14:solidFill>
          </w14:textFill>
        </w:rPr>
        <w:t>。</w:t>
      </w:r>
    </w:p>
    <w:p>
      <w:pPr>
        <w:adjustRightInd w:val="0"/>
        <w:snapToGrid w:val="0"/>
        <w:spacing w:line="360" w:lineRule="auto"/>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负责密封</w:t>
      </w:r>
      <w:r>
        <w:rPr>
          <w:rFonts w:hint="eastAsia"/>
          <w:color w:val="000000" w:themeColor="text1"/>
          <w:sz w:val="28"/>
          <w:szCs w:val="28"/>
          <w:highlight w:val="none"/>
          <w:lang w:eastAsia="zh-CN"/>
          <w14:textFill>
            <w14:solidFill>
              <w14:schemeClr w14:val="tx1"/>
            </w14:solidFill>
          </w14:textFill>
        </w:rPr>
        <w:t>罩的</w:t>
      </w:r>
      <w:r>
        <w:rPr>
          <w:rFonts w:hint="eastAsia"/>
          <w:color w:val="000000" w:themeColor="text1"/>
          <w:sz w:val="28"/>
          <w:szCs w:val="28"/>
          <w:highlight w:val="none"/>
          <w14:textFill>
            <w14:solidFill>
              <w14:schemeClr w14:val="tx1"/>
            </w14:solidFill>
          </w14:textFill>
        </w:rPr>
        <w:t>改造</w:t>
      </w:r>
      <w:r>
        <w:rPr>
          <w:rFonts w:hint="eastAsia"/>
          <w:color w:val="000000" w:themeColor="text1"/>
          <w:sz w:val="28"/>
          <w:szCs w:val="28"/>
          <w:highlight w:val="none"/>
          <w:lang w:eastAsia="zh-CN"/>
          <w14:textFill>
            <w14:solidFill>
              <w14:schemeClr w14:val="tx1"/>
            </w14:solidFill>
          </w14:textFill>
        </w:rPr>
        <w:t>设计，给招标方提供改造方案，设计</w:t>
      </w:r>
      <w:r>
        <w:rPr>
          <w:rFonts w:hint="eastAsia"/>
          <w:color w:val="000000" w:themeColor="text1"/>
          <w:sz w:val="28"/>
          <w:szCs w:val="28"/>
          <w:highlight w:val="none"/>
          <w14:textFill>
            <w14:solidFill>
              <w14:schemeClr w14:val="tx1"/>
            </w14:solidFill>
          </w14:textFill>
        </w:rPr>
        <w:t>应符合《带式输送机工程设计规范》</w:t>
      </w:r>
      <w:r>
        <w:rPr>
          <w:rFonts w:hint="eastAsia"/>
          <w:color w:val="000000" w:themeColor="text1"/>
          <w:sz w:val="28"/>
          <w:szCs w:val="28"/>
          <w:highlight w:val="none"/>
          <w:lang w:eastAsia="zh-CN"/>
          <w14:textFill>
            <w14:solidFill>
              <w14:schemeClr w14:val="tx1"/>
            </w14:solidFill>
          </w14:textFill>
        </w:rPr>
        <w:t>。</w:t>
      </w:r>
    </w:p>
    <w:p>
      <w:pPr>
        <w:adjustRightInd w:val="0"/>
        <w:snapToGrid w:val="0"/>
        <w:spacing w:line="360" w:lineRule="auto"/>
        <w:ind w:firstLine="560" w:firstLineChars="200"/>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负责提供给招标方整个装置的土建荷载条件、能源介质外线条件、电源外线条件。</w:t>
      </w:r>
      <w:r>
        <w:rPr>
          <w:rFonts w:hint="eastAsia"/>
          <w:color w:val="000000" w:themeColor="text1"/>
          <w:sz w:val="28"/>
          <w:szCs w:val="28"/>
          <w:highlight w:val="none"/>
          <w:lang w:eastAsia="zh-CN"/>
          <w14:textFill>
            <w14:solidFill>
              <w14:schemeClr w14:val="tx1"/>
            </w14:solidFill>
          </w14:textFill>
        </w:rPr>
        <w:t>负责提供原除尘罩、密封罩拆除技术要求。</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负责整个系统的调试、试车试车和验收考核过程中消耗或损坏的备品备件、工具。</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★负责对所供货设备提供完整的、详细的技术资料，并对所提交技术资料的完整性和正确性负全责。</w:t>
      </w:r>
    </w:p>
    <w:p>
      <w:pPr>
        <w:adjustRightInd w:val="0"/>
        <w:snapToGrid w:val="0"/>
        <w:spacing w:line="360" w:lineRule="auto"/>
        <w:ind w:firstLine="560" w:firstLineChars="200"/>
        <w:rPr>
          <w:rFonts w:hint="eastAsia"/>
          <w:color w:val="000000" w:themeColor="text1"/>
          <w:sz w:val="28"/>
          <w:szCs w:val="28"/>
          <w:highlight w:val="none"/>
          <w14:textFill>
            <w14:solidFill>
              <w14:schemeClr w14:val="tx1"/>
            </w14:solidFill>
          </w14:textFill>
        </w:rPr>
      </w:pPr>
    </w:p>
    <w:p>
      <w:pPr>
        <w:pStyle w:val="6"/>
        <w:tabs>
          <w:tab w:val="left" w:pos="525"/>
          <w:tab w:val="left" w:pos="3400"/>
        </w:tabs>
        <w:adjustRightInd w:val="0"/>
        <w:snapToGrid w:val="0"/>
        <w:spacing w:line="360" w:lineRule="auto"/>
        <w:ind w:left="0"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除招标方负责范围以外的其他附属设施均由投标方负责。</w:t>
      </w:r>
    </w:p>
    <w:p>
      <w:pPr>
        <w:pStyle w:val="6"/>
        <w:numPr>
          <w:ilvl w:val="0"/>
          <w:numId w:val="3"/>
        </w:numPr>
        <w:tabs>
          <w:tab w:val="left" w:pos="525"/>
          <w:tab w:val="left" w:pos="3400"/>
        </w:tabs>
        <w:adjustRightInd w:val="0"/>
        <w:snapToGrid w:val="0"/>
        <w:spacing w:line="360" w:lineRule="auto"/>
        <w:ind w:left="0"/>
        <w:outlineLvl w:val="0"/>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对投标方的业绩要求</w:t>
      </w:r>
    </w:p>
    <w:p>
      <w:pPr>
        <w:pStyle w:val="6"/>
        <w:numPr>
          <w:ilvl w:val="0"/>
          <w:numId w:val="0"/>
        </w:numPr>
        <w:tabs>
          <w:tab w:val="left" w:pos="525"/>
          <w:tab w:val="left" w:pos="3400"/>
        </w:tabs>
        <w:adjustRightInd w:val="0"/>
        <w:snapToGrid w:val="0"/>
        <w:spacing w:line="360" w:lineRule="auto"/>
        <w:ind w:firstLine="560" w:firstLineChars="200"/>
        <w:outlineLvl w:val="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投标方需提供近两年来在皮带落料点区域工况下干雾抑尘装置成功投运的业绩证明。</w:t>
      </w:r>
      <w:bookmarkStart w:id="4" w:name="_GoBack"/>
      <w:bookmarkEnd w:id="4"/>
    </w:p>
    <w:p>
      <w:pPr>
        <w:pStyle w:val="13"/>
        <w:numPr>
          <w:ilvl w:val="0"/>
          <w:numId w:val="0"/>
        </w:numPr>
        <w:ind w:leftChars="0" w:right="-439" w:rightChars="-183"/>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十、</w:t>
      </w:r>
      <w:r>
        <w:rPr>
          <w:rFonts w:hint="eastAsia" w:ascii="宋体" w:hAnsi="宋体"/>
          <w:b/>
          <w:bCs/>
          <w:color w:val="000000" w:themeColor="text1"/>
          <w:sz w:val="32"/>
          <w:szCs w:val="32"/>
          <w:highlight w:val="none"/>
          <w14:textFill>
            <w14:solidFill>
              <w14:schemeClr w14:val="tx1"/>
            </w14:solidFill>
          </w14:textFill>
        </w:rPr>
        <w:t>联系方式</w:t>
      </w:r>
    </w:p>
    <w:p>
      <w:pPr>
        <w:pStyle w:val="13"/>
        <w:numPr>
          <w:ilvl w:val="0"/>
          <w:numId w:val="0"/>
        </w:numPr>
        <w:ind w:leftChars="0" w:right="-439" w:rightChars="-183" w:firstLine="840" w:firstLineChars="300"/>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highlight w:val="none"/>
          <w14:textFill>
            <w14:solidFill>
              <w14:schemeClr w14:val="tx1"/>
            </w14:solidFill>
          </w14:textFill>
        </w:rPr>
        <w:t xml:space="preserve">设计处   </w:t>
      </w:r>
      <w:r>
        <w:rPr>
          <w:rFonts w:hint="eastAsia"/>
          <w:color w:val="000000" w:themeColor="text1"/>
          <w:sz w:val="28"/>
          <w:highlight w:val="none"/>
          <w:lang w:eastAsia="zh-CN"/>
          <w14:textFill>
            <w14:solidFill>
              <w14:schemeClr w14:val="tx1"/>
            </w14:solidFill>
          </w14:textFill>
        </w:rPr>
        <w:t>李青凯</w:t>
      </w:r>
      <w:r>
        <w:rPr>
          <w:rFonts w:hint="eastAsia"/>
          <w:color w:val="000000" w:themeColor="text1"/>
          <w:sz w:val="28"/>
          <w:highlight w:val="none"/>
          <w14:textFill>
            <w14:solidFill>
              <w14:schemeClr w14:val="tx1"/>
            </w14:solidFill>
          </w14:textFill>
        </w:rPr>
        <w:t xml:space="preserve">   0553-5627139；</w:t>
      </w:r>
      <w:r>
        <w:rPr>
          <w:rFonts w:hint="eastAsia"/>
          <w:color w:val="000000" w:themeColor="text1"/>
          <w:sz w:val="28"/>
          <w:highlight w:val="none"/>
          <w:lang w:val="en-US" w:eastAsia="zh-CN"/>
          <w14:textFill>
            <w14:solidFill>
              <w14:schemeClr w14:val="tx1"/>
            </w14:solidFill>
          </w14:textFill>
        </w:rPr>
        <w:t>15955356961</w:t>
      </w:r>
    </w:p>
    <w:sectPr>
      <w:footerReference r:id="rId4" w:type="default"/>
      <w:pgSz w:w="11906" w:h="16838"/>
      <w:pgMar w:top="1418" w:right="1418" w:bottom="1418" w:left="1418"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auto"/>
    <w:pitch w:val="default"/>
    <w:sig w:usb0="00000000" w:usb1="00000000" w:usb2="0000001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lvlText w:val="%1."/>
      <w:lvlJc w:val="left"/>
      <w:pPr>
        <w:tabs>
          <w:tab w:val="left" w:pos="432"/>
        </w:tabs>
        <w:ind w:left="432" w:hanging="432"/>
      </w:pPr>
      <w:rPr>
        <w:rFonts w:hint="default"/>
      </w:rPr>
    </w:lvl>
    <w:lvl w:ilvl="1" w:tentative="0">
      <w:start w:val="1"/>
      <w:numFmt w:val="decimal"/>
      <w:pStyle w:val="2"/>
      <w:lvlText w:val="%1.%2."/>
      <w:lvlJc w:val="left"/>
      <w:pPr>
        <w:tabs>
          <w:tab w:val="left" w:pos="935"/>
        </w:tabs>
        <w:ind w:left="935" w:hanging="575"/>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
    <w:nsid w:val="1EAAC0AA"/>
    <w:multiLevelType w:val="singleLevel"/>
    <w:tmpl w:val="1EAAC0AA"/>
    <w:lvl w:ilvl="0" w:tentative="0">
      <w:start w:val="1"/>
      <w:numFmt w:val="decimal"/>
      <w:suff w:val="nothing"/>
      <w:lvlText w:val="%1、"/>
      <w:lvlJc w:val="left"/>
      <w:pPr>
        <w:ind w:left="420" w:leftChars="0" w:firstLine="0" w:firstLineChars="0"/>
      </w:pPr>
    </w:lvl>
  </w:abstractNum>
  <w:abstractNum w:abstractNumId="2">
    <w:nsid w:val="6B7C2D69"/>
    <w:multiLevelType w:val="singleLevel"/>
    <w:tmpl w:val="6B7C2D69"/>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7AC"/>
    <w:rsid w:val="0007471B"/>
    <w:rsid w:val="000A2C23"/>
    <w:rsid w:val="000D4078"/>
    <w:rsid w:val="000F4EF1"/>
    <w:rsid w:val="00102F50"/>
    <w:rsid w:val="00111C98"/>
    <w:rsid w:val="00122230"/>
    <w:rsid w:val="00172A27"/>
    <w:rsid w:val="001F27B5"/>
    <w:rsid w:val="00236440"/>
    <w:rsid w:val="00252162"/>
    <w:rsid w:val="00277E62"/>
    <w:rsid w:val="002C06E1"/>
    <w:rsid w:val="002C25DD"/>
    <w:rsid w:val="00340CF1"/>
    <w:rsid w:val="00385A39"/>
    <w:rsid w:val="00406A53"/>
    <w:rsid w:val="0046595D"/>
    <w:rsid w:val="004E124C"/>
    <w:rsid w:val="005358C6"/>
    <w:rsid w:val="005F6621"/>
    <w:rsid w:val="00616361"/>
    <w:rsid w:val="00670E13"/>
    <w:rsid w:val="006D72EA"/>
    <w:rsid w:val="006E5B09"/>
    <w:rsid w:val="006E7A98"/>
    <w:rsid w:val="00793E1A"/>
    <w:rsid w:val="00801D09"/>
    <w:rsid w:val="00821BE9"/>
    <w:rsid w:val="00887023"/>
    <w:rsid w:val="008A1C09"/>
    <w:rsid w:val="009137A8"/>
    <w:rsid w:val="0095415B"/>
    <w:rsid w:val="00960C56"/>
    <w:rsid w:val="00980DDB"/>
    <w:rsid w:val="009954E2"/>
    <w:rsid w:val="00A21DE3"/>
    <w:rsid w:val="00AA0C55"/>
    <w:rsid w:val="00AC25DE"/>
    <w:rsid w:val="00B1121D"/>
    <w:rsid w:val="00B52C33"/>
    <w:rsid w:val="00B66FE1"/>
    <w:rsid w:val="00B76945"/>
    <w:rsid w:val="00B9701F"/>
    <w:rsid w:val="00BC5454"/>
    <w:rsid w:val="00BD6C32"/>
    <w:rsid w:val="00BF2680"/>
    <w:rsid w:val="00C507BC"/>
    <w:rsid w:val="00D119F4"/>
    <w:rsid w:val="00D87D3B"/>
    <w:rsid w:val="00DD2EEB"/>
    <w:rsid w:val="00E66A35"/>
    <w:rsid w:val="00E963AA"/>
    <w:rsid w:val="00EC4A28"/>
    <w:rsid w:val="00ED02E7"/>
    <w:rsid w:val="00EE623E"/>
    <w:rsid w:val="00F23456"/>
    <w:rsid w:val="00FA7D1F"/>
    <w:rsid w:val="00FE1BC9"/>
    <w:rsid w:val="01257604"/>
    <w:rsid w:val="02484469"/>
    <w:rsid w:val="03723392"/>
    <w:rsid w:val="040320C5"/>
    <w:rsid w:val="04F37B9E"/>
    <w:rsid w:val="05854E33"/>
    <w:rsid w:val="05B80280"/>
    <w:rsid w:val="05C6704F"/>
    <w:rsid w:val="05E44C89"/>
    <w:rsid w:val="064176F1"/>
    <w:rsid w:val="07C00CC4"/>
    <w:rsid w:val="07DB0ECF"/>
    <w:rsid w:val="086A1B63"/>
    <w:rsid w:val="097803D2"/>
    <w:rsid w:val="09C23D72"/>
    <w:rsid w:val="0A2F49C7"/>
    <w:rsid w:val="0A5A344F"/>
    <w:rsid w:val="0BAD57C0"/>
    <w:rsid w:val="0CAC6B8F"/>
    <w:rsid w:val="0EB457E7"/>
    <w:rsid w:val="0F12453A"/>
    <w:rsid w:val="0F587FA2"/>
    <w:rsid w:val="0F62239C"/>
    <w:rsid w:val="118E6BEA"/>
    <w:rsid w:val="137F6DB6"/>
    <w:rsid w:val="14E61385"/>
    <w:rsid w:val="15A230D5"/>
    <w:rsid w:val="17C10368"/>
    <w:rsid w:val="1A654004"/>
    <w:rsid w:val="1A810D0F"/>
    <w:rsid w:val="1AB447F0"/>
    <w:rsid w:val="1B247689"/>
    <w:rsid w:val="1B692DDA"/>
    <w:rsid w:val="1D855E15"/>
    <w:rsid w:val="1DB91E41"/>
    <w:rsid w:val="1FA64F6B"/>
    <w:rsid w:val="202E3F4C"/>
    <w:rsid w:val="2223727B"/>
    <w:rsid w:val="22CE79E2"/>
    <w:rsid w:val="23083DDD"/>
    <w:rsid w:val="23651A55"/>
    <w:rsid w:val="24465C8B"/>
    <w:rsid w:val="24557228"/>
    <w:rsid w:val="24A01767"/>
    <w:rsid w:val="24AF3C14"/>
    <w:rsid w:val="25765880"/>
    <w:rsid w:val="260B12BA"/>
    <w:rsid w:val="264D2492"/>
    <w:rsid w:val="29C9189B"/>
    <w:rsid w:val="2AAB6C1C"/>
    <w:rsid w:val="2C9253C5"/>
    <w:rsid w:val="2CE331AF"/>
    <w:rsid w:val="2F7E0BCE"/>
    <w:rsid w:val="30CC76B4"/>
    <w:rsid w:val="32884798"/>
    <w:rsid w:val="32E16C38"/>
    <w:rsid w:val="34FB4FE2"/>
    <w:rsid w:val="350A642C"/>
    <w:rsid w:val="366470A5"/>
    <w:rsid w:val="37252147"/>
    <w:rsid w:val="3A0F309E"/>
    <w:rsid w:val="3B137F58"/>
    <w:rsid w:val="3B4104BB"/>
    <w:rsid w:val="4225557E"/>
    <w:rsid w:val="422D04D6"/>
    <w:rsid w:val="424272D1"/>
    <w:rsid w:val="42D53CB8"/>
    <w:rsid w:val="43983880"/>
    <w:rsid w:val="440203DC"/>
    <w:rsid w:val="444C135E"/>
    <w:rsid w:val="44580F30"/>
    <w:rsid w:val="448B1367"/>
    <w:rsid w:val="44964B63"/>
    <w:rsid w:val="460C2AF5"/>
    <w:rsid w:val="467A5DEC"/>
    <w:rsid w:val="4707797B"/>
    <w:rsid w:val="476C3DFE"/>
    <w:rsid w:val="478814A5"/>
    <w:rsid w:val="48953EC4"/>
    <w:rsid w:val="4BA5775F"/>
    <w:rsid w:val="4C961257"/>
    <w:rsid w:val="4D712523"/>
    <w:rsid w:val="4EF470CA"/>
    <w:rsid w:val="4F067742"/>
    <w:rsid w:val="51AB7E83"/>
    <w:rsid w:val="53043063"/>
    <w:rsid w:val="531D0C94"/>
    <w:rsid w:val="53E5639A"/>
    <w:rsid w:val="54B726DE"/>
    <w:rsid w:val="550C1DEB"/>
    <w:rsid w:val="56F67FAB"/>
    <w:rsid w:val="57E1178E"/>
    <w:rsid w:val="5A6142EF"/>
    <w:rsid w:val="5A8067D9"/>
    <w:rsid w:val="5B78083F"/>
    <w:rsid w:val="5C585AA0"/>
    <w:rsid w:val="5DD70FF2"/>
    <w:rsid w:val="5E7C0256"/>
    <w:rsid w:val="608F38A0"/>
    <w:rsid w:val="62AD6C79"/>
    <w:rsid w:val="62C84C40"/>
    <w:rsid w:val="659702CB"/>
    <w:rsid w:val="66D470DC"/>
    <w:rsid w:val="671F6378"/>
    <w:rsid w:val="69603252"/>
    <w:rsid w:val="69DA7DC7"/>
    <w:rsid w:val="6B453405"/>
    <w:rsid w:val="6B87112A"/>
    <w:rsid w:val="6C8A5102"/>
    <w:rsid w:val="6CE62D0B"/>
    <w:rsid w:val="6E545426"/>
    <w:rsid w:val="6EC275F1"/>
    <w:rsid w:val="6F70454C"/>
    <w:rsid w:val="6FA53E70"/>
    <w:rsid w:val="70E009ED"/>
    <w:rsid w:val="720532C4"/>
    <w:rsid w:val="74002FB6"/>
    <w:rsid w:val="74841863"/>
    <w:rsid w:val="75966F05"/>
    <w:rsid w:val="75B937FE"/>
    <w:rsid w:val="7A6E4F25"/>
    <w:rsid w:val="7B274DF0"/>
    <w:rsid w:val="7B3255A2"/>
    <w:rsid w:val="7B806F14"/>
    <w:rsid w:val="7D365CA7"/>
    <w:rsid w:val="7DE3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1"/>
    <w:next w:val="1"/>
    <w:qFormat/>
    <w:uiPriority w:val="0"/>
    <w:pPr>
      <w:keepNext/>
      <w:keepLines/>
      <w:spacing w:before="200"/>
      <w:outlineLvl w:val="2"/>
    </w:pPr>
    <w:rPr>
      <w:rFonts w:ascii="Cambria" w:hAnsi="Cambria"/>
      <w:b/>
      <w:bCs/>
      <w:sz w:val="2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8"/>
    <w:qFormat/>
    <w:uiPriority w:val="0"/>
    <w:pPr>
      <w:spacing w:line="360" w:lineRule="auto"/>
      <w:ind w:firstLine="420"/>
    </w:pPr>
    <w:rPr>
      <w:rFonts w:ascii="宋体"/>
      <w:szCs w:val="20"/>
    </w:rPr>
  </w:style>
  <w:style w:type="paragraph" w:styleId="5">
    <w:name w:val="toa heading"/>
    <w:basedOn w:val="1"/>
    <w:next w:val="1"/>
    <w:qFormat/>
    <w:uiPriority w:val="0"/>
    <w:pPr>
      <w:adjustRightInd w:val="0"/>
      <w:spacing w:before="120" w:line="398" w:lineRule="atLeast"/>
      <w:textAlignment w:val="baseline"/>
    </w:pPr>
    <w:rPr>
      <w:rFonts w:ascii="Arial" w:hAnsi="Arial" w:cs="Arial"/>
      <w:kern w:val="0"/>
    </w:rPr>
  </w:style>
  <w:style w:type="paragraph" w:styleId="6">
    <w:name w:val="Body Text Indent"/>
    <w:basedOn w:val="1"/>
    <w:qFormat/>
    <w:uiPriority w:val="0"/>
    <w:pPr>
      <w:ind w:left="7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qFormat/>
    <w:uiPriority w:val="0"/>
    <w:pPr>
      <w:adjustRightInd w:val="0"/>
      <w:spacing w:line="360" w:lineRule="auto"/>
      <w:ind w:firstLine="454"/>
      <w:jc w:val="center"/>
      <w:textAlignment w:val="baseline"/>
    </w:pPr>
    <w:rPr>
      <w:rFonts w:ascii="楷体_GB2312" w:eastAsia="楷体_GB2312"/>
      <w:sz w:val="44"/>
      <w:szCs w:val="44"/>
    </w:rPr>
  </w:style>
  <w:style w:type="paragraph" w:customStyle="1" w:styleId="12">
    <w:name w:val="正文文字"/>
    <w:basedOn w:val="1"/>
    <w:link w:val="19"/>
    <w:qFormat/>
    <w:uiPriority w:val="0"/>
    <w:pPr>
      <w:spacing w:line="500" w:lineRule="exact"/>
      <w:ind w:firstLine="1040" w:firstLineChars="200"/>
    </w:pPr>
    <w:rPr>
      <w:sz w:val="28"/>
      <w:szCs w:val="22"/>
    </w:rPr>
  </w:style>
  <w:style w:type="paragraph" w:customStyle="1" w:styleId="13">
    <w:name w:val="样式 行距: 1.5 倍行距"/>
    <w:basedOn w:val="1"/>
    <w:qFormat/>
    <w:uiPriority w:val="0"/>
    <w:pPr>
      <w:spacing w:line="360" w:lineRule="auto"/>
      <w:ind w:right="-512" w:rightChars="-183" w:firstLine="549" w:firstLineChars="196"/>
    </w:pPr>
    <w:rPr>
      <w:rFonts w:cs="宋体"/>
      <w:sz w:val="21"/>
      <w:szCs w:val="28"/>
    </w:rPr>
  </w:style>
  <w:style w:type="paragraph" w:customStyle="1" w:styleId="14">
    <w:name w:val="正文文本缩进1"/>
    <w:basedOn w:val="1"/>
    <w:qFormat/>
    <w:uiPriority w:val="0"/>
    <w:pPr>
      <w:tabs>
        <w:tab w:val="left" w:pos="665"/>
      </w:tabs>
      <w:snapToGrid w:val="0"/>
      <w:spacing w:line="360" w:lineRule="auto"/>
      <w:ind w:firstLine="540"/>
    </w:pPr>
    <w:rPr>
      <w:rFonts w:ascii="仿宋体" w:eastAsia="仿宋体"/>
      <w:sz w:val="28"/>
      <w:szCs w:val="28"/>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6">
    <w:name w:val="正文 New"/>
    <w:qFormat/>
    <w:uiPriority w:val="0"/>
    <w:pPr>
      <w:widowControl w:val="0"/>
      <w:suppressAutoHyphens/>
      <w:jc w:val="both"/>
    </w:pPr>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正文缩进 Char"/>
    <w:link w:val="4"/>
    <w:qFormat/>
    <w:uiPriority w:val="0"/>
    <w:rPr>
      <w:rFonts w:ascii="宋体"/>
      <w:kern w:val="2"/>
      <w:sz w:val="24"/>
    </w:rPr>
  </w:style>
  <w:style w:type="character" w:customStyle="1" w:styleId="19">
    <w:name w:val="正文文字 Char Char"/>
    <w:link w:val="12"/>
    <w:qFormat/>
    <w:uiPriority w:val="0"/>
    <w:rPr>
      <w:kern w:val="2"/>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1297</Words>
  <Characters>7399</Characters>
  <Lines>61</Lines>
  <Paragraphs>17</Paragraphs>
  <TotalTime>0</TotalTime>
  <ScaleCrop>false</ScaleCrop>
  <LinksUpToDate>false</LinksUpToDate>
  <CharactersWithSpaces>8679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Administrator</dc:creator>
  <cp:lastModifiedBy>Administrator</cp:lastModifiedBy>
  <cp:lastPrinted>2020-07-17T02:50:00Z</cp:lastPrinted>
  <dcterms:modified xsi:type="dcterms:W3CDTF">2020-08-04T06:46:56Z</dcterms:modified>
  <dc:title>芜湖新兴铸管有限责任公司</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