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宋体" w:hAnsi="宋体" w:cs="宋体"/>
          <w:b/>
          <w:sz w:val="44"/>
          <w:szCs w:val="44"/>
        </w:rPr>
      </w:pPr>
      <w:r>
        <w:rPr>
          <w:rFonts w:hint="eastAsia" w:ascii="宋体" w:hAnsi="宋体" w:cs="宋体"/>
          <w:b/>
          <w:sz w:val="44"/>
          <w:szCs w:val="44"/>
        </w:rPr>
        <w:t>120吨转炉滑板挡渣承包项目技术协议</w:t>
      </w:r>
      <w:r>
        <w:rPr>
          <w:rFonts w:hint="eastAsia" w:ascii="宋体" w:hAnsi="宋体" w:cs="宋体"/>
          <w:b/>
          <w:sz w:val="44"/>
          <w:szCs w:val="44"/>
          <w:lang w:val="en-US" w:eastAsia="zh-CN"/>
        </w:rPr>
        <w:t>质</w:t>
      </w:r>
      <w:r>
        <w:rPr>
          <w:rFonts w:hint="eastAsia" w:ascii="宋体" w:hAnsi="宋体" w:cs="宋体"/>
          <w:b/>
          <w:sz w:val="44"/>
          <w:szCs w:val="44"/>
          <w:lang w:eastAsia="zh-CN"/>
        </w:rPr>
        <w:t>量标准技术统一平台</w:t>
      </w:r>
    </w:p>
    <w:p>
      <w:pPr>
        <w:spacing w:line="360" w:lineRule="exact"/>
        <w:ind w:firstLine="480" w:firstLineChars="200"/>
        <w:rPr>
          <w:rFonts w:ascii="宋体" w:hAnsi="宋体" w:cs="宋体"/>
          <w:sz w:val="24"/>
          <w:szCs w:val="24"/>
        </w:rPr>
      </w:pPr>
      <w:r>
        <w:rPr>
          <w:rFonts w:hint="eastAsia" w:ascii="宋体" w:hAnsi="宋体" w:cs="宋体"/>
          <w:sz w:val="24"/>
          <w:szCs w:val="24"/>
        </w:rPr>
        <w:t>芜湖新兴铸管有限责任公司(以下简称甲方)：</w:t>
      </w:r>
    </w:p>
    <w:p>
      <w:pPr>
        <w:spacing w:line="360" w:lineRule="exact"/>
        <w:ind w:firstLine="480" w:firstLineChars="200"/>
        <w:rPr>
          <w:rFonts w:ascii="宋体" w:hAnsi="宋体" w:cs="宋体"/>
          <w:sz w:val="24"/>
          <w:szCs w:val="24"/>
        </w:rPr>
      </w:pPr>
      <w:r>
        <w:rPr>
          <w:rFonts w:hint="eastAsia" w:ascii="宋体" w:hAnsi="宋体" w:cs="宋体"/>
          <w:sz w:val="24"/>
          <w:szCs w:val="24"/>
        </w:rPr>
        <w:t xml:space="preserve">                       （以下简称乙方）：</w:t>
      </w:r>
    </w:p>
    <w:p>
      <w:pPr>
        <w:spacing w:line="360" w:lineRule="exact"/>
        <w:ind w:firstLine="480" w:firstLineChars="200"/>
        <w:rPr>
          <w:rFonts w:ascii="宋体" w:hAnsi="宋体" w:cs="宋体"/>
          <w:sz w:val="24"/>
          <w:szCs w:val="24"/>
        </w:rPr>
      </w:pPr>
      <w:r>
        <w:rPr>
          <w:rFonts w:hint="eastAsia" w:ascii="宋体" w:hAnsi="宋体" w:cs="宋体"/>
          <w:sz w:val="24"/>
          <w:szCs w:val="24"/>
        </w:rPr>
        <w:t>根据国家现行的法律、法规和政策之规定，就芜湖新兴铸管有限责任公司炼钢部120T转炉滑板挡渣承包项目，经友好协商，达成如下技术协议：</w:t>
      </w:r>
    </w:p>
    <w:p>
      <w:pPr>
        <w:spacing w:line="360" w:lineRule="exact"/>
        <w:ind w:firstLine="480" w:firstLineChars="200"/>
        <w:rPr>
          <w:rFonts w:ascii="宋体" w:hAnsi="宋体" w:cs="宋体"/>
          <w:sz w:val="24"/>
          <w:szCs w:val="24"/>
        </w:rPr>
      </w:pPr>
      <w:r>
        <w:rPr>
          <w:rFonts w:hint="eastAsia" w:ascii="宋体" w:hAnsi="宋体" w:cs="宋体"/>
          <w:sz w:val="24"/>
          <w:szCs w:val="24"/>
        </w:rPr>
        <w:t>一、承包范围</w:t>
      </w:r>
    </w:p>
    <w:p>
      <w:pPr>
        <w:spacing w:line="360" w:lineRule="exact"/>
        <w:ind w:firstLine="480" w:firstLineChars="200"/>
        <w:rPr>
          <w:rFonts w:ascii="宋体" w:hAnsi="宋体" w:cs="宋体"/>
          <w:sz w:val="24"/>
          <w:szCs w:val="24"/>
        </w:rPr>
      </w:pPr>
      <w:r>
        <w:rPr>
          <w:rFonts w:hint="eastAsia" w:ascii="宋体" w:hAnsi="宋体" w:cs="宋体"/>
          <w:sz w:val="24"/>
          <w:szCs w:val="24"/>
        </w:rPr>
        <w:t>芜湖新兴铸管有限责任公司炼钢部120T转炉滑板挡渣承包项目所需材料，包括</w:t>
      </w:r>
      <w:r>
        <w:rPr>
          <w:rFonts w:hint="eastAsia" w:ascii="宋体" w:hAnsi="宋体" w:cs="宋体"/>
          <w:sz w:val="24"/>
          <w:szCs w:val="24"/>
          <w:lang w:eastAsia="zh-CN"/>
        </w:rPr>
        <w:t>出钢口、内</w:t>
      </w:r>
      <w:r>
        <w:rPr>
          <w:rFonts w:hint="eastAsia" w:ascii="宋体" w:hAnsi="宋体" w:cs="宋体"/>
          <w:sz w:val="24"/>
          <w:szCs w:val="24"/>
        </w:rPr>
        <w:t>水口砖、外水口砖、内滑板砖、外滑板砖、耐火泥、耐火防黏结涂料、ZZF-4ZHH-150-230</w:t>
      </w:r>
      <w:r>
        <w:rPr>
          <w:rFonts w:hint="eastAsia" w:ascii="宋体" w:hAnsi="宋体" w:cs="宋体"/>
          <w:sz w:val="24"/>
          <w:szCs w:val="24"/>
          <w:lang w:eastAsia="zh-CN"/>
        </w:rPr>
        <w:t>和</w:t>
      </w:r>
      <w:r>
        <w:rPr>
          <w:rFonts w:hint="eastAsia" w:ascii="宋体" w:hAnsi="宋体" w:cs="宋体"/>
          <w:sz w:val="24"/>
          <w:szCs w:val="24"/>
        </w:rPr>
        <w:t>滑板挡渣机构</w:t>
      </w:r>
      <w:r>
        <w:rPr>
          <w:rFonts w:hint="eastAsia" w:ascii="宋体" w:hAnsi="宋体" w:eastAsia="宋体" w:cs="宋体"/>
          <w:sz w:val="24"/>
          <w:szCs w:val="24"/>
        </w:rPr>
        <w:t>所需的</w:t>
      </w:r>
      <w:r>
        <w:rPr>
          <w:rFonts w:hint="eastAsia" w:ascii="宋体" w:hAnsi="宋体" w:cs="宋体"/>
          <w:sz w:val="24"/>
          <w:szCs w:val="24"/>
          <w:lang w:eastAsia="zh-CN"/>
        </w:rPr>
        <w:t>相关备品备件、</w:t>
      </w:r>
      <w:r>
        <w:rPr>
          <w:rFonts w:hint="eastAsia" w:ascii="宋体" w:hAnsi="宋体" w:eastAsia="宋体" w:cs="宋体"/>
          <w:sz w:val="24"/>
          <w:szCs w:val="24"/>
        </w:rPr>
        <w:t>耐材安装</w:t>
      </w:r>
      <w:r>
        <w:rPr>
          <w:rFonts w:hint="eastAsia" w:ascii="宋体" w:hAnsi="宋体" w:cs="宋体"/>
          <w:sz w:val="24"/>
          <w:szCs w:val="24"/>
          <w:lang w:eastAsia="zh-CN"/>
        </w:rPr>
        <w:t>及</w:t>
      </w:r>
      <w:r>
        <w:rPr>
          <w:rFonts w:hint="eastAsia" w:ascii="宋体" w:hAnsi="宋体" w:eastAsia="宋体" w:cs="宋体"/>
          <w:sz w:val="24"/>
          <w:szCs w:val="24"/>
        </w:rPr>
        <w:t>机构维护所需人员、工具等</w:t>
      </w:r>
      <w:r>
        <w:rPr>
          <w:rFonts w:hint="eastAsia" w:ascii="宋体" w:hAnsi="宋体" w:cs="宋体"/>
          <w:sz w:val="24"/>
          <w:szCs w:val="24"/>
          <w:lang w:eastAsia="zh-CN"/>
        </w:rPr>
        <w:t>。</w:t>
      </w:r>
      <w:r>
        <w:rPr>
          <w:rFonts w:hint="eastAsia" w:ascii="宋体" w:hAnsi="宋体" w:cs="宋体"/>
          <w:sz w:val="24"/>
          <w:szCs w:val="24"/>
        </w:rPr>
        <w:t>所需耐材的安装、离线、在线维护，</w:t>
      </w:r>
      <w:r>
        <w:rPr>
          <w:rFonts w:hint="eastAsia" w:ascii="宋体" w:hAnsi="宋体" w:cs="宋体"/>
          <w:sz w:val="24"/>
          <w:szCs w:val="24"/>
          <w:lang w:eastAsia="zh-CN"/>
        </w:rPr>
        <w:t>硬件</w:t>
      </w:r>
      <w:r>
        <w:rPr>
          <w:rFonts w:hint="eastAsia" w:ascii="宋体" w:hAnsi="宋体" w:cs="宋体"/>
          <w:sz w:val="24"/>
          <w:szCs w:val="24"/>
        </w:rPr>
        <w:t>机构的解体重组、在线、离线的拆解安装、机构本体及转炉出钢口部位粘渣沾钢的清理（安装维护工具自备）。</w:t>
      </w:r>
    </w:p>
    <w:p>
      <w:pPr>
        <w:spacing w:line="360" w:lineRule="exact"/>
        <w:ind w:firstLine="480" w:firstLineChars="200"/>
        <w:rPr>
          <w:rFonts w:ascii="宋体" w:hAnsi="宋体" w:cs="宋体"/>
          <w:sz w:val="24"/>
          <w:szCs w:val="24"/>
        </w:rPr>
      </w:pPr>
      <w:r>
        <w:rPr>
          <w:rFonts w:hint="eastAsia" w:ascii="宋体" w:hAnsi="宋体" w:cs="宋体"/>
          <w:sz w:val="24"/>
          <w:szCs w:val="24"/>
        </w:rPr>
        <w:t>二、相关业务内容及要求</w:t>
      </w:r>
    </w:p>
    <w:p>
      <w:pPr>
        <w:spacing w:line="360" w:lineRule="exact"/>
        <w:ind w:firstLine="480" w:firstLineChars="200"/>
        <w:rPr>
          <w:rFonts w:ascii="宋体" w:hAnsi="宋体" w:cs="宋体"/>
          <w:sz w:val="24"/>
          <w:szCs w:val="24"/>
        </w:rPr>
      </w:pPr>
      <w:r>
        <w:rPr>
          <w:rFonts w:hint="eastAsia" w:ascii="宋体" w:hAnsi="宋体" w:cs="宋体"/>
          <w:sz w:val="24"/>
          <w:szCs w:val="24"/>
        </w:rPr>
        <w:t>1、甲方责任与义务</w:t>
      </w:r>
    </w:p>
    <w:p>
      <w:pPr>
        <w:spacing w:line="360" w:lineRule="exact"/>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eastAsia="zh-CN"/>
        </w:rPr>
        <w:t>提供</w:t>
      </w:r>
      <w:r>
        <w:rPr>
          <w:rFonts w:hint="eastAsia" w:ascii="宋体" w:hAnsi="宋体" w:cs="宋体"/>
          <w:sz w:val="24"/>
          <w:szCs w:val="24"/>
        </w:rPr>
        <w:t>炼钢部转炉滑板挡渣所需的硬件机构如下：</w:t>
      </w:r>
    </w:p>
    <w:tbl>
      <w:tblPr>
        <w:tblStyle w:val="4"/>
        <w:tblW w:w="1030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2"/>
        <w:gridCol w:w="3642"/>
        <w:gridCol w:w="1547"/>
        <w:gridCol w:w="859"/>
        <w:gridCol w:w="34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82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cs="宋体"/>
                <w:kern w:val="0"/>
                <w:szCs w:val="21"/>
              </w:rPr>
            </w:pPr>
            <w:r>
              <w:rPr>
                <w:rFonts w:hint="eastAsia" w:ascii="宋体" w:hAnsi="宋体" w:cs="宋体"/>
                <w:kern w:val="0"/>
                <w:szCs w:val="21"/>
              </w:rPr>
              <w:t>序号</w:t>
            </w:r>
          </w:p>
        </w:tc>
        <w:tc>
          <w:tcPr>
            <w:tcW w:w="364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cs="宋体"/>
                <w:kern w:val="0"/>
                <w:szCs w:val="21"/>
              </w:rPr>
            </w:pPr>
            <w:r>
              <w:rPr>
                <w:rFonts w:hint="eastAsia" w:ascii="宋体" w:hAnsi="宋体" w:cs="宋体"/>
                <w:kern w:val="0"/>
                <w:szCs w:val="21"/>
              </w:rPr>
              <w:t>名     称</w:t>
            </w:r>
          </w:p>
        </w:tc>
        <w:tc>
          <w:tcPr>
            <w:tcW w:w="154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cs="宋体"/>
                <w:kern w:val="0"/>
                <w:szCs w:val="21"/>
              </w:rPr>
            </w:pPr>
            <w:r>
              <w:rPr>
                <w:rFonts w:hint="eastAsia" w:ascii="宋体" w:hAnsi="宋体" w:cs="宋体"/>
                <w:kern w:val="0"/>
                <w:szCs w:val="21"/>
              </w:rPr>
              <w:t>单位</w:t>
            </w:r>
          </w:p>
        </w:tc>
        <w:tc>
          <w:tcPr>
            <w:tcW w:w="85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cs="宋体"/>
                <w:kern w:val="0"/>
                <w:szCs w:val="21"/>
              </w:rPr>
            </w:pPr>
            <w:r>
              <w:rPr>
                <w:rFonts w:hint="eastAsia" w:ascii="宋体" w:hAnsi="宋体" w:cs="宋体"/>
                <w:kern w:val="0"/>
                <w:szCs w:val="21"/>
              </w:rPr>
              <w:t>数量</w:t>
            </w:r>
          </w:p>
        </w:tc>
        <w:tc>
          <w:tcPr>
            <w:tcW w:w="343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cs="宋体"/>
                <w:kern w:val="0"/>
                <w:szCs w:val="21"/>
              </w:rPr>
            </w:pPr>
            <w:r>
              <w:rPr>
                <w:rFonts w:hint="eastAsia" w:ascii="宋体" w:hAnsi="宋体" w:cs="宋体"/>
                <w:kern w:val="0"/>
                <w:szCs w:val="21"/>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82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Cs w:val="21"/>
              </w:rPr>
            </w:pPr>
          </w:p>
        </w:tc>
        <w:tc>
          <w:tcPr>
            <w:tcW w:w="364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Cs w:val="21"/>
              </w:rPr>
            </w:pPr>
          </w:p>
        </w:tc>
        <w:tc>
          <w:tcPr>
            <w:tcW w:w="15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Cs w:val="21"/>
              </w:rPr>
            </w:pPr>
          </w:p>
        </w:tc>
        <w:tc>
          <w:tcPr>
            <w:tcW w:w="8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Cs w:val="21"/>
              </w:rPr>
            </w:pPr>
          </w:p>
        </w:tc>
        <w:tc>
          <w:tcPr>
            <w:tcW w:w="343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822"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Cs w:val="21"/>
              </w:rPr>
            </w:pPr>
            <w:r>
              <w:rPr>
                <w:rFonts w:hint="eastAsia" w:ascii="宋体" w:hAnsi="宋体" w:cs="宋体"/>
                <w:kern w:val="0"/>
                <w:szCs w:val="21"/>
              </w:rPr>
              <w:t>1</w:t>
            </w:r>
          </w:p>
        </w:tc>
        <w:tc>
          <w:tcPr>
            <w:tcW w:w="3642" w:type="dxa"/>
            <w:tcBorders>
              <w:top w:val="nil"/>
              <w:left w:val="nil"/>
              <w:bottom w:val="single" w:color="auto" w:sz="4" w:space="0"/>
              <w:right w:val="single" w:color="auto" w:sz="4" w:space="0"/>
            </w:tcBorders>
            <w:vAlign w:val="center"/>
          </w:tcPr>
          <w:p>
            <w:pPr>
              <w:widowControl/>
              <w:spacing w:line="360" w:lineRule="exact"/>
              <w:jc w:val="center"/>
              <w:rPr>
                <w:rFonts w:ascii="宋体" w:hAnsi="宋体" w:cs="宋体"/>
                <w:b w:val="0"/>
                <w:bCs w:val="0"/>
                <w:kern w:val="0"/>
                <w:szCs w:val="21"/>
              </w:rPr>
            </w:pPr>
            <w:r>
              <w:rPr>
                <w:rFonts w:hint="eastAsia" w:ascii="宋体" w:hAnsi="宋体" w:cs="宋体"/>
                <w:b w:val="0"/>
                <w:bCs w:val="0"/>
                <w:kern w:val="0"/>
                <w:szCs w:val="21"/>
              </w:rPr>
              <w:t>基准板部件</w:t>
            </w:r>
          </w:p>
        </w:tc>
        <w:tc>
          <w:tcPr>
            <w:tcW w:w="1547" w:type="dxa"/>
            <w:tcBorders>
              <w:top w:val="nil"/>
              <w:left w:val="nil"/>
              <w:bottom w:val="single" w:color="auto" w:sz="4" w:space="0"/>
              <w:right w:val="single" w:color="auto" w:sz="4" w:space="0"/>
            </w:tcBorders>
            <w:vAlign w:val="center"/>
          </w:tcPr>
          <w:p>
            <w:pPr>
              <w:widowControl/>
              <w:spacing w:line="360" w:lineRule="exact"/>
              <w:jc w:val="center"/>
              <w:rPr>
                <w:rFonts w:ascii="宋体" w:hAnsi="宋体" w:cs="宋体"/>
                <w:b w:val="0"/>
                <w:bCs w:val="0"/>
                <w:kern w:val="0"/>
                <w:szCs w:val="21"/>
              </w:rPr>
            </w:pPr>
            <w:r>
              <w:rPr>
                <w:rFonts w:hint="eastAsia" w:ascii="宋体" w:hAnsi="宋体" w:cs="宋体"/>
                <w:b w:val="0"/>
                <w:bCs w:val="0"/>
                <w:kern w:val="0"/>
                <w:szCs w:val="21"/>
              </w:rPr>
              <w:t>套</w:t>
            </w:r>
          </w:p>
        </w:tc>
        <w:tc>
          <w:tcPr>
            <w:tcW w:w="859" w:type="dxa"/>
            <w:tcBorders>
              <w:top w:val="nil"/>
              <w:left w:val="nil"/>
              <w:bottom w:val="single" w:color="auto" w:sz="4" w:space="0"/>
              <w:right w:val="single" w:color="auto" w:sz="4" w:space="0"/>
            </w:tcBorders>
            <w:vAlign w:val="center"/>
          </w:tcPr>
          <w:p>
            <w:pPr>
              <w:widowControl/>
              <w:spacing w:line="360" w:lineRule="exact"/>
              <w:jc w:val="center"/>
              <w:rPr>
                <w:rFonts w:ascii="宋体" w:hAnsi="宋体" w:cs="宋体"/>
                <w:b w:val="0"/>
                <w:bCs w:val="0"/>
                <w:kern w:val="0"/>
                <w:szCs w:val="21"/>
              </w:rPr>
            </w:pPr>
            <w:r>
              <w:rPr>
                <w:rFonts w:hint="eastAsia" w:ascii="宋体" w:hAnsi="宋体" w:cs="宋体"/>
                <w:b w:val="0"/>
                <w:bCs w:val="0"/>
                <w:kern w:val="0"/>
                <w:szCs w:val="21"/>
              </w:rPr>
              <w:t>2</w:t>
            </w:r>
          </w:p>
        </w:tc>
        <w:tc>
          <w:tcPr>
            <w:tcW w:w="3438" w:type="dxa"/>
            <w:tcBorders>
              <w:top w:val="nil"/>
              <w:left w:val="nil"/>
              <w:bottom w:val="single" w:color="auto" w:sz="4" w:space="0"/>
              <w:right w:val="single" w:color="auto" w:sz="4" w:space="0"/>
            </w:tcBorders>
            <w:vAlign w:val="center"/>
          </w:tcPr>
          <w:p>
            <w:pPr>
              <w:widowControl/>
              <w:spacing w:line="360" w:lineRule="exact"/>
              <w:jc w:val="center"/>
              <w:rPr>
                <w:rFonts w:ascii="宋体" w:hAnsi="宋体" w:cs="宋体"/>
                <w:kern w:val="0"/>
                <w:szCs w:val="21"/>
              </w:rPr>
            </w:pPr>
            <w:r>
              <w:rPr>
                <w:rFonts w:hint="eastAsia" w:ascii="宋体" w:hAnsi="宋体" w:cs="宋体"/>
                <w:kern w:val="0"/>
                <w:szCs w:val="21"/>
              </w:rPr>
              <w:t>含紧固件</w:t>
            </w:r>
            <w:r>
              <w:rPr>
                <w:rFonts w:hint="eastAsia" w:ascii="宋体" w:hAnsi="宋体" w:cs="宋体"/>
                <w:kern w:val="0"/>
                <w:szCs w:val="21"/>
                <w:lang w:eastAsia="zh-CN"/>
              </w:rPr>
              <w:t>，备</w:t>
            </w:r>
            <w:r>
              <w:rPr>
                <w:rFonts w:hint="eastAsia" w:ascii="宋体" w:hAnsi="宋体" w:cs="宋体"/>
                <w:kern w:val="0"/>
                <w:szCs w:val="21"/>
                <w:lang w:val="en-US" w:eastAsia="zh-CN"/>
              </w:rPr>
              <w:t>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822"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Cs w:val="21"/>
              </w:rPr>
            </w:pPr>
            <w:r>
              <w:rPr>
                <w:rFonts w:hint="eastAsia" w:ascii="宋体" w:hAnsi="宋体" w:cs="宋体"/>
                <w:kern w:val="0"/>
                <w:szCs w:val="21"/>
              </w:rPr>
              <w:t>2</w:t>
            </w:r>
          </w:p>
        </w:tc>
        <w:tc>
          <w:tcPr>
            <w:tcW w:w="3642" w:type="dxa"/>
            <w:tcBorders>
              <w:top w:val="nil"/>
              <w:left w:val="nil"/>
              <w:bottom w:val="single" w:color="auto" w:sz="4" w:space="0"/>
              <w:right w:val="single" w:color="auto" w:sz="4" w:space="0"/>
            </w:tcBorders>
            <w:vAlign w:val="center"/>
          </w:tcPr>
          <w:p>
            <w:pPr>
              <w:widowControl/>
              <w:spacing w:line="360" w:lineRule="exact"/>
              <w:jc w:val="center"/>
              <w:rPr>
                <w:rFonts w:ascii="宋体" w:hAnsi="宋体" w:cs="宋体"/>
                <w:b w:val="0"/>
                <w:bCs w:val="0"/>
                <w:kern w:val="0"/>
                <w:szCs w:val="21"/>
              </w:rPr>
            </w:pPr>
            <w:r>
              <w:rPr>
                <w:rFonts w:hint="eastAsia" w:ascii="宋体" w:hAnsi="宋体" w:cs="宋体"/>
                <w:b w:val="0"/>
                <w:bCs w:val="0"/>
                <w:kern w:val="0"/>
                <w:szCs w:val="21"/>
              </w:rPr>
              <w:t>连接板部件</w:t>
            </w:r>
          </w:p>
        </w:tc>
        <w:tc>
          <w:tcPr>
            <w:tcW w:w="1547" w:type="dxa"/>
            <w:tcBorders>
              <w:top w:val="nil"/>
              <w:left w:val="nil"/>
              <w:bottom w:val="single" w:color="auto" w:sz="4" w:space="0"/>
              <w:right w:val="single" w:color="auto" w:sz="4" w:space="0"/>
            </w:tcBorders>
            <w:vAlign w:val="center"/>
          </w:tcPr>
          <w:p>
            <w:pPr>
              <w:widowControl/>
              <w:spacing w:line="360" w:lineRule="exact"/>
              <w:jc w:val="center"/>
              <w:rPr>
                <w:rFonts w:ascii="宋体" w:hAnsi="宋体" w:cs="宋体"/>
                <w:b w:val="0"/>
                <w:bCs w:val="0"/>
                <w:kern w:val="0"/>
                <w:szCs w:val="21"/>
              </w:rPr>
            </w:pPr>
            <w:r>
              <w:rPr>
                <w:rFonts w:hint="eastAsia" w:ascii="宋体" w:hAnsi="宋体" w:cs="宋体"/>
                <w:b w:val="0"/>
                <w:bCs w:val="0"/>
                <w:kern w:val="0"/>
                <w:szCs w:val="21"/>
              </w:rPr>
              <w:t>套</w:t>
            </w:r>
          </w:p>
        </w:tc>
        <w:tc>
          <w:tcPr>
            <w:tcW w:w="859" w:type="dxa"/>
            <w:tcBorders>
              <w:top w:val="nil"/>
              <w:left w:val="nil"/>
              <w:bottom w:val="single" w:color="auto" w:sz="4" w:space="0"/>
              <w:right w:val="single" w:color="auto" w:sz="4" w:space="0"/>
            </w:tcBorders>
            <w:vAlign w:val="center"/>
          </w:tcPr>
          <w:p>
            <w:pPr>
              <w:widowControl/>
              <w:spacing w:line="360" w:lineRule="exact"/>
              <w:jc w:val="center"/>
              <w:rPr>
                <w:rFonts w:ascii="宋体" w:hAnsi="宋体" w:cs="宋体"/>
                <w:b w:val="0"/>
                <w:bCs w:val="0"/>
                <w:kern w:val="0"/>
                <w:szCs w:val="21"/>
              </w:rPr>
            </w:pPr>
            <w:r>
              <w:rPr>
                <w:rFonts w:hint="eastAsia" w:ascii="宋体" w:hAnsi="宋体" w:cs="宋体"/>
                <w:b w:val="0"/>
                <w:bCs w:val="0"/>
                <w:kern w:val="0"/>
                <w:szCs w:val="21"/>
              </w:rPr>
              <w:t>2</w:t>
            </w:r>
          </w:p>
        </w:tc>
        <w:tc>
          <w:tcPr>
            <w:tcW w:w="3438" w:type="dxa"/>
            <w:tcBorders>
              <w:top w:val="nil"/>
              <w:left w:val="nil"/>
              <w:bottom w:val="single" w:color="auto" w:sz="4" w:space="0"/>
              <w:right w:val="single" w:color="auto" w:sz="4" w:space="0"/>
            </w:tcBorders>
            <w:vAlign w:val="center"/>
          </w:tcPr>
          <w:p>
            <w:pPr>
              <w:widowControl/>
              <w:spacing w:line="360" w:lineRule="exact"/>
              <w:jc w:val="center"/>
              <w:rPr>
                <w:rFonts w:ascii="宋体" w:hAnsi="宋体" w:cs="宋体"/>
                <w:kern w:val="0"/>
                <w:szCs w:val="21"/>
              </w:rPr>
            </w:pPr>
            <w:r>
              <w:rPr>
                <w:rFonts w:hint="eastAsia" w:ascii="宋体" w:hAnsi="宋体" w:cs="宋体"/>
                <w:kern w:val="0"/>
                <w:szCs w:val="21"/>
              </w:rPr>
              <w:t>含紧固件</w:t>
            </w:r>
            <w:r>
              <w:rPr>
                <w:rFonts w:hint="eastAsia" w:ascii="宋体" w:hAnsi="宋体" w:cs="宋体"/>
                <w:kern w:val="0"/>
                <w:szCs w:val="21"/>
                <w:lang w:eastAsia="zh-CN"/>
              </w:rPr>
              <w:t>，备</w:t>
            </w:r>
            <w:r>
              <w:rPr>
                <w:rFonts w:hint="eastAsia" w:ascii="宋体" w:hAnsi="宋体" w:cs="宋体"/>
                <w:kern w:val="0"/>
                <w:szCs w:val="21"/>
                <w:lang w:val="en-US" w:eastAsia="zh-CN"/>
              </w:rPr>
              <w:t>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822"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Cs w:val="21"/>
              </w:rPr>
            </w:pPr>
            <w:r>
              <w:rPr>
                <w:rFonts w:hint="eastAsia" w:ascii="宋体" w:hAnsi="宋体" w:cs="宋体"/>
                <w:kern w:val="0"/>
                <w:szCs w:val="21"/>
              </w:rPr>
              <w:t>3</w:t>
            </w:r>
          </w:p>
        </w:tc>
        <w:tc>
          <w:tcPr>
            <w:tcW w:w="3642" w:type="dxa"/>
            <w:tcBorders>
              <w:top w:val="nil"/>
              <w:left w:val="nil"/>
              <w:bottom w:val="single" w:color="auto" w:sz="4" w:space="0"/>
              <w:right w:val="single" w:color="auto" w:sz="4" w:space="0"/>
            </w:tcBorders>
            <w:vAlign w:val="center"/>
          </w:tcPr>
          <w:p>
            <w:pPr>
              <w:widowControl/>
              <w:spacing w:line="360" w:lineRule="exact"/>
              <w:jc w:val="center"/>
              <w:rPr>
                <w:rFonts w:ascii="宋体" w:hAnsi="宋体" w:cs="宋体"/>
                <w:b w:val="0"/>
                <w:bCs w:val="0"/>
                <w:kern w:val="0"/>
                <w:szCs w:val="21"/>
              </w:rPr>
            </w:pPr>
            <w:r>
              <w:rPr>
                <w:rFonts w:hint="eastAsia" w:ascii="宋体" w:hAnsi="宋体" w:cs="宋体"/>
                <w:b w:val="0"/>
                <w:bCs w:val="0"/>
                <w:kern w:val="0"/>
                <w:szCs w:val="21"/>
              </w:rPr>
              <w:t>出钢口法兰</w:t>
            </w:r>
          </w:p>
        </w:tc>
        <w:tc>
          <w:tcPr>
            <w:tcW w:w="1547" w:type="dxa"/>
            <w:tcBorders>
              <w:top w:val="nil"/>
              <w:left w:val="nil"/>
              <w:bottom w:val="single" w:color="auto" w:sz="4" w:space="0"/>
              <w:right w:val="single" w:color="auto" w:sz="4" w:space="0"/>
            </w:tcBorders>
            <w:vAlign w:val="center"/>
          </w:tcPr>
          <w:p>
            <w:pPr>
              <w:widowControl/>
              <w:spacing w:line="360" w:lineRule="exact"/>
              <w:jc w:val="center"/>
              <w:rPr>
                <w:rFonts w:ascii="宋体" w:hAnsi="宋体" w:cs="宋体"/>
                <w:b w:val="0"/>
                <w:bCs w:val="0"/>
                <w:kern w:val="0"/>
                <w:szCs w:val="21"/>
              </w:rPr>
            </w:pPr>
            <w:r>
              <w:rPr>
                <w:rFonts w:hint="eastAsia" w:ascii="宋体" w:hAnsi="宋体" w:cs="宋体"/>
                <w:b w:val="0"/>
                <w:bCs w:val="0"/>
                <w:kern w:val="0"/>
                <w:szCs w:val="21"/>
              </w:rPr>
              <w:t>套</w:t>
            </w:r>
          </w:p>
        </w:tc>
        <w:tc>
          <w:tcPr>
            <w:tcW w:w="859" w:type="dxa"/>
            <w:tcBorders>
              <w:top w:val="nil"/>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val="0"/>
                <w:kern w:val="0"/>
                <w:szCs w:val="21"/>
                <w:lang w:eastAsia="zh-CN"/>
              </w:rPr>
            </w:pPr>
            <w:r>
              <w:rPr>
                <w:rFonts w:hint="eastAsia" w:ascii="宋体" w:hAnsi="宋体" w:cs="宋体"/>
                <w:b w:val="0"/>
                <w:bCs w:val="0"/>
                <w:color w:val="auto"/>
                <w:kern w:val="0"/>
                <w:szCs w:val="21"/>
                <w:lang w:val="en-US" w:eastAsia="zh-CN"/>
              </w:rPr>
              <w:t>2</w:t>
            </w:r>
          </w:p>
        </w:tc>
        <w:tc>
          <w:tcPr>
            <w:tcW w:w="3438" w:type="dxa"/>
            <w:tcBorders>
              <w:top w:val="nil"/>
              <w:left w:val="nil"/>
              <w:bottom w:val="single" w:color="auto" w:sz="4" w:space="0"/>
              <w:right w:val="single" w:color="auto" w:sz="4" w:space="0"/>
            </w:tcBorders>
            <w:vAlign w:val="center"/>
          </w:tcPr>
          <w:p>
            <w:pPr>
              <w:widowControl/>
              <w:spacing w:line="360" w:lineRule="exact"/>
              <w:jc w:val="center"/>
              <w:rPr>
                <w:rFonts w:ascii="宋体" w:hAnsi="宋体" w:cs="宋体"/>
                <w:kern w:val="0"/>
                <w:szCs w:val="21"/>
              </w:rPr>
            </w:pPr>
            <w:r>
              <w:rPr>
                <w:rFonts w:hint="eastAsia" w:ascii="宋体" w:hAnsi="宋体" w:cs="宋体"/>
                <w:kern w:val="0"/>
                <w:szCs w:val="21"/>
              </w:rPr>
              <w:t>　</w:t>
            </w:r>
            <w:r>
              <w:rPr>
                <w:rFonts w:hint="eastAsia" w:ascii="宋体" w:hAnsi="宋体" w:cs="宋体"/>
                <w:kern w:val="0"/>
                <w:szCs w:val="21"/>
                <w:lang w:eastAsia="zh-CN"/>
              </w:rPr>
              <w:t>备</w:t>
            </w:r>
            <w:r>
              <w:rPr>
                <w:rFonts w:hint="eastAsia" w:ascii="宋体" w:hAnsi="宋体" w:cs="宋体"/>
                <w:kern w:val="0"/>
                <w:szCs w:val="21"/>
                <w:lang w:val="en-US" w:eastAsia="zh-CN"/>
              </w:rPr>
              <w:t>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822" w:type="dxa"/>
            <w:vMerge w:val="restart"/>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Cs w:val="21"/>
              </w:rPr>
            </w:pPr>
            <w:r>
              <w:rPr>
                <w:rFonts w:hint="eastAsia" w:ascii="宋体" w:hAnsi="宋体" w:cs="宋体"/>
                <w:kern w:val="0"/>
                <w:szCs w:val="21"/>
              </w:rPr>
              <w:t>4</w:t>
            </w:r>
          </w:p>
        </w:tc>
        <w:tc>
          <w:tcPr>
            <w:tcW w:w="3642" w:type="dxa"/>
            <w:tcBorders>
              <w:top w:val="nil"/>
              <w:left w:val="nil"/>
              <w:bottom w:val="single" w:color="auto" w:sz="4" w:space="0"/>
              <w:right w:val="single" w:color="auto" w:sz="4" w:space="0"/>
            </w:tcBorders>
            <w:vAlign w:val="center"/>
          </w:tcPr>
          <w:p>
            <w:pPr>
              <w:widowControl/>
              <w:spacing w:line="360" w:lineRule="exact"/>
              <w:jc w:val="center"/>
              <w:rPr>
                <w:rFonts w:ascii="宋体" w:hAnsi="宋体" w:cs="宋体"/>
                <w:b w:val="0"/>
                <w:bCs w:val="0"/>
                <w:kern w:val="0"/>
                <w:szCs w:val="21"/>
              </w:rPr>
            </w:pPr>
            <w:r>
              <w:rPr>
                <w:rFonts w:hint="eastAsia" w:ascii="宋体" w:hAnsi="宋体" w:cs="宋体"/>
                <w:b w:val="0"/>
                <w:bCs w:val="0"/>
                <w:kern w:val="0"/>
                <w:szCs w:val="21"/>
                <w:highlight w:val="none"/>
              </w:rPr>
              <w:t>ZZF-4ZHH-150-230</w:t>
            </w:r>
          </w:p>
        </w:tc>
        <w:tc>
          <w:tcPr>
            <w:tcW w:w="1547" w:type="dxa"/>
            <w:vMerge w:val="restart"/>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b w:val="0"/>
                <w:bCs w:val="0"/>
                <w:kern w:val="0"/>
                <w:szCs w:val="21"/>
              </w:rPr>
            </w:pPr>
            <w:r>
              <w:rPr>
                <w:rFonts w:hint="eastAsia" w:ascii="宋体" w:hAnsi="宋体" w:cs="宋体"/>
                <w:b w:val="0"/>
                <w:bCs w:val="0"/>
                <w:kern w:val="0"/>
                <w:szCs w:val="21"/>
              </w:rPr>
              <w:t>套</w:t>
            </w:r>
          </w:p>
        </w:tc>
        <w:tc>
          <w:tcPr>
            <w:tcW w:w="859" w:type="dxa"/>
            <w:vMerge w:val="restart"/>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b w:val="0"/>
                <w:bCs w:val="0"/>
                <w:kern w:val="0"/>
                <w:szCs w:val="21"/>
              </w:rPr>
            </w:pPr>
            <w:r>
              <w:rPr>
                <w:rFonts w:hint="eastAsia" w:ascii="宋体" w:hAnsi="宋体" w:cs="宋体"/>
                <w:b w:val="0"/>
                <w:bCs w:val="0"/>
                <w:kern w:val="0"/>
                <w:szCs w:val="21"/>
              </w:rPr>
              <w:t>3</w:t>
            </w:r>
          </w:p>
        </w:tc>
        <w:tc>
          <w:tcPr>
            <w:tcW w:w="3438" w:type="dxa"/>
            <w:vMerge w:val="restart"/>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Cs w:val="21"/>
              </w:rPr>
            </w:pPr>
            <w:r>
              <w:rPr>
                <w:rFonts w:hint="eastAsia" w:ascii="宋体" w:hAnsi="宋体" w:cs="宋体"/>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822"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Cs w:val="21"/>
              </w:rPr>
            </w:pPr>
          </w:p>
        </w:tc>
        <w:tc>
          <w:tcPr>
            <w:tcW w:w="3642" w:type="dxa"/>
            <w:tcBorders>
              <w:top w:val="nil"/>
              <w:left w:val="nil"/>
              <w:bottom w:val="single" w:color="auto" w:sz="4" w:space="0"/>
              <w:right w:val="single" w:color="auto" w:sz="4" w:space="0"/>
            </w:tcBorders>
            <w:vAlign w:val="center"/>
          </w:tcPr>
          <w:p>
            <w:pPr>
              <w:widowControl/>
              <w:spacing w:line="360" w:lineRule="exact"/>
              <w:jc w:val="center"/>
              <w:rPr>
                <w:rFonts w:ascii="宋体" w:hAnsi="宋体" w:cs="宋体"/>
                <w:b w:val="0"/>
                <w:bCs w:val="0"/>
                <w:kern w:val="0"/>
                <w:szCs w:val="21"/>
              </w:rPr>
            </w:pPr>
            <w:r>
              <w:rPr>
                <w:rFonts w:hint="eastAsia" w:ascii="宋体" w:hAnsi="宋体" w:cs="宋体"/>
                <w:b w:val="0"/>
                <w:bCs w:val="0"/>
                <w:kern w:val="0"/>
                <w:szCs w:val="21"/>
              </w:rPr>
              <w:t>滑板挡渣机构</w:t>
            </w:r>
          </w:p>
        </w:tc>
        <w:tc>
          <w:tcPr>
            <w:tcW w:w="1547"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b w:val="0"/>
                <w:bCs w:val="0"/>
                <w:kern w:val="0"/>
                <w:szCs w:val="21"/>
              </w:rPr>
            </w:pPr>
          </w:p>
        </w:tc>
        <w:tc>
          <w:tcPr>
            <w:tcW w:w="859"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b w:val="0"/>
                <w:bCs w:val="0"/>
                <w:kern w:val="0"/>
                <w:szCs w:val="21"/>
              </w:rPr>
            </w:pPr>
          </w:p>
        </w:tc>
        <w:tc>
          <w:tcPr>
            <w:tcW w:w="3438"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822"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Cs w:val="21"/>
              </w:rPr>
            </w:pPr>
            <w:r>
              <w:rPr>
                <w:rFonts w:hint="eastAsia" w:ascii="宋体" w:hAnsi="宋体" w:cs="宋体"/>
                <w:kern w:val="0"/>
                <w:szCs w:val="21"/>
              </w:rPr>
              <w:t>5</w:t>
            </w:r>
          </w:p>
        </w:tc>
        <w:tc>
          <w:tcPr>
            <w:tcW w:w="3642" w:type="dxa"/>
            <w:tcBorders>
              <w:top w:val="nil"/>
              <w:left w:val="nil"/>
              <w:bottom w:val="single" w:color="auto" w:sz="4" w:space="0"/>
              <w:right w:val="single" w:color="auto" w:sz="4" w:space="0"/>
            </w:tcBorders>
            <w:vAlign w:val="center"/>
          </w:tcPr>
          <w:p>
            <w:pPr>
              <w:widowControl/>
              <w:spacing w:line="360" w:lineRule="exact"/>
              <w:jc w:val="center"/>
              <w:rPr>
                <w:rFonts w:ascii="宋体" w:hAnsi="宋体" w:cs="宋体"/>
                <w:b w:val="0"/>
                <w:bCs w:val="0"/>
                <w:kern w:val="0"/>
                <w:szCs w:val="21"/>
              </w:rPr>
            </w:pPr>
            <w:r>
              <w:rPr>
                <w:rFonts w:hint="eastAsia" w:ascii="宋体" w:hAnsi="宋体" w:cs="宋体"/>
                <w:b w:val="0"/>
                <w:bCs w:val="0"/>
                <w:kern w:val="0"/>
                <w:szCs w:val="21"/>
              </w:rPr>
              <w:t>水冷油缸组件</w:t>
            </w:r>
          </w:p>
        </w:tc>
        <w:tc>
          <w:tcPr>
            <w:tcW w:w="1547" w:type="dxa"/>
            <w:tcBorders>
              <w:top w:val="nil"/>
              <w:left w:val="nil"/>
              <w:bottom w:val="single" w:color="auto" w:sz="4" w:space="0"/>
              <w:right w:val="single" w:color="auto" w:sz="4" w:space="0"/>
            </w:tcBorders>
            <w:vAlign w:val="center"/>
          </w:tcPr>
          <w:p>
            <w:pPr>
              <w:widowControl/>
              <w:spacing w:line="360" w:lineRule="exact"/>
              <w:jc w:val="center"/>
              <w:rPr>
                <w:rFonts w:ascii="宋体" w:hAnsi="宋体" w:cs="宋体"/>
                <w:b w:val="0"/>
                <w:bCs w:val="0"/>
                <w:kern w:val="0"/>
                <w:szCs w:val="21"/>
              </w:rPr>
            </w:pPr>
            <w:r>
              <w:rPr>
                <w:rFonts w:hint="eastAsia" w:ascii="宋体" w:hAnsi="宋体" w:cs="宋体"/>
                <w:b w:val="0"/>
                <w:bCs w:val="0"/>
                <w:kern w:val="0"/>
                <w:szCs w:val="21"/>
              </w:rPr>
              <w:t>套</w:t>
            </w:r>
          </w:p>
        </w:tc>
        <w:tc>
          <w:tcPr>
            <w:tcW w:w="859" w:type="dxa"/>
            <w:tcBorders>
              <w:top w:val="nil"/>
              <w:left w:val="nil"/>
              <w:bottom w:val="single" w:color="auto" w:sz="4" w:space="0"/>
              <w:right w:val="single" w:color="auto" w:sz="4" w:space="0"/>
            </w:tcBorders>
            <w:vAlign w:val="center"/>
          </w:tcPr>
          <w:p>
            <w:pPr>
              <w:widowControl/>
              <w:spacing w:line="360" w:lineRule="exact"/>
              <w:jc w:val="center"/>
              <w:rPr>
                <w:rFonts w:ascii="宋体" w:hAnsi="宋体" w:cs="宋体"/>
                <w:b w:val="0"/>
                <w:bCs w:val="0"/>
                <w:kern w:val="0"/>
                <w:szCs w:val="21"/>
              </w:rPr>
            </w:pPr>
            <w:r>
              <w:rPr>
                <w:rFonts w:hint="eastAsia" w:ascii="宋体" w:hAnsi="宋体" w:cs="宋体"/>
                <w:b w:val="0"/>
                <w:bCs w:val="0"/>
                <w:kern w:val="0"/>
                <w:szCs w:val="21"/>
              </w:rPr>
              <w:t>2</w:t>
            </w:r>
          </w:p>
        </w:tc>
        <w:tc>
          <w:tcPr>
            <w:tcW w:w="3438" w:type="dxa"/>
            <w:tcBorders>
              <w:top w:val="nil"/>
              <w:left w:val="nil"/>
              <w:bottom w:val="single" w:color="auto" w:sz="4" w:space="0"/>
              <w:right w:val="single" w:color="auto" w:sz="4" w:space="0"/>
            </w:tcBorders>
            <w:vAlign w:val="center"/>
          </w:tcPr>
          <w:p>
            <w:pPr>
              <w:widowControl/>
              <w:spacing w:line="360" w:lineRule="exact"/>
              <w:jc w:val="center"/>
              <w:rPr>
                <w:rFonts w:ascii="宋体" w:hAnsi="宋体" w:cs="宋体"/>
                <w:kern w:val="0"/>
                <w:szCs w:val="21"/>
              </w:rPr>
            </w:pPr>
            <w:r>
              <w:rPr>
                <w:rFonts w:hint="eastAsia" w:ascii="宋体" w:hAnsi="宋体" w:cs="宋体"/>
                <w:kern w:val="0"/>
                <w:szCs w:val="21"/>
              </w:rPr>
              <w:t>进口氟橡胶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822"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Cs w:val="21"/>
              </w:rPr>
            </w:pPr>
            <w:r>
              <w:rPr>
                <w:rFonts w:hint="eastAsia" w:ascii="宋体" w:hAnsi="宋体" w:cs="宋体"/>
                <w:kern w:val="0"/>
                <w:szCs w:val="21"/>
              </w:rPr>
              <w:t>6</w:t>
            </w:r>
          </w:p>
        </w:tc>
        <w:tc>
          <w:tcPr>
            <w:tcW w:w="3642" w:type="dxa"/>
            <w:tcBorders>
              <w:top w:val="nil"/>
              <w:left w:val="nil"/>
              <w:bottom w:val="single" w:color="auto" w:sz="4" w:space="0"/>
              <w:right w:val="single" w:color="auto" w:sz="4" w:space="0"/>
            </w:tcBorders>
            <w:vAlign w:val="center"/>
          </w:tcPr>
          <w:p>
            <w:pPr>
              <w:widowControl/>
              <w:spacing w:line="360" w:lineRule="exact"/>
              <w:jc w:val="center"/>
              <w:rPr>
                <w:rFonts w:ascii="宋体" w:hAnsi="宋体" w:cs="宋体"/>
                <w:b w:val="0"/>
                <w:bCs w:val="0"/>
                <w:kern w:val="0"/>
                <w:szCs w:val="21"/>
              </w:rPr>
            </w:pPr>
            <w:r>
              <w:rPr>
                <w:rFonts w:hint="eastAsia" w:ascii="宋体" w:hAnsi="宋体" w:cs="宋体"/>
                <w:b w:val="0"/>
                <w:bCs w:val="0"/>
                <w:kern w:val="0"/>
                <w:szCs w:val="21"/>
              </w:rPr>
              <w:t>油缸隔热板部件</w:t>
            </w:r>
          </w:p>
        </w:tc>
        <w:tc>
          <w:tcPr>
            <w:tcW w:w="1547" w:type="dxa"/>
            <w:tcBorders>
              <w:top w:val="nil"/>
              <w:left w:val="nil"/>
              <w:bottom w:val="single" w:color="auto" w:sz="4" w:space="0"/>
              <w:right w:val="single" w:color="auto" w:sz="4" w:space="0"/>
            </w:tcBorders>
            <w:vAlign w:val="center"/>
          </w:tcPr>
          <w:p>
            <w:pPr>
              <w:widowControl/>
              <w:spacing w:line="360" w:lineRule="exact"/>
              <w:jc w:val="center"/>
              <w:rPr>
                <w:rFonts w:ascii="宋体" w:hAnsi="宋体" w:cs="宋体"/>
                <w:b w:val="0"/>
                <w:bCs w:val="0"/>
                <w:kern w:val="0"/>
                <w:szCs w:val="21"/>
              </w:rPr>
            </w:pPr>
            <w:r>
              <w:rPr>
                <w:rFonts w:hint="eastAsia" w:ascii="宋体" w:hAnsi="宋体" w:cs="宋体"/>
                <w:b w:val="0"/>
                <w:bCs w:val="0"/>
                <w:kern w:val="0"/>
                <w:szCs w:val="21"/>
              </w:rPr>
              <w:t>套</w:t>
            </w:r>
          </w:p>
        </w:tc>
        <w:tc>
          <w:tcPr>
            <w:tcW w:w="859" w:type="dxa"/>
            <w:tcBorders>
              <w:top w:val="nil"/>
              <w:left w:val="nil"/>
              <w:bottom w:val="single" w:color="auto" w:sz="4" w:space="0"/>
              <w:right w:val="single" w:color="auto" w:sz="4" w:space="0"/>
            </w:tcBorders>
            <w:vAlign w:val="center"/>
          </w:tcPr>
          <w:p>
            <w:pPr>
              <w:widowControl/>
              <w:spacing w:line="360" w:lineRule="exact"/>
              <w:jc w:val="center"/>
              <w:rPr>
                <w:rFonts w:ascii="宋体" w:hAnsi="宋体" w:cs="宋体"/>
                <w:b w:val="0"/>
                <w:bCs w:val="0"/>
                <w:kern w:val="0"/>
                <w:szCs w:val="21"/>
              </w:rPr>
            </w:pPr>
            <w:r>
              <w:rPr>
                <w:rFonts w:hint="eastAsia" w:ascii="宋体" w:hAnsi="宋体" w:cs="宋体"/>
                <w:b w:val="0"/>
                <w:bCs w:val="0"/>
                <w:kern w:val="0"/>
                <w:szCs w:val="21"/>
              </w:rPr>
              <w:t>2</w:t>
            </w:r>
          </w:p>
        </w:tc>
        <w:tc>
          <w:tcPr>
            <w:tcW w:w="3438" w:type="dxa"/>
            <w:tcBorders>
              <w:top w:val="nil"/>
              <w:left w:val="nil"/>
              <w:bottom w:val="single" w:color="auto" w:sz="4" w:space="0"/>
              <w:right w:val="single" w:color="auto" w:sz="4" w:space="0"/>
            </w:tcBorders>
            <w:vAlign w:val="center"/>
          </w:tcPr>
          <w:p>
            <w:pPr>
              <w:widowControl/>
              <w:spacing w:line="360" w:lineRule="exact"/>
              <w:jc w:val="center"/>
              <w:rPr>
                <w:rFonts w:ascii="宋体" w:hAnsi="宋体" w:cs="宋体"/>
                <w:kern w:val="0"/>
                <w:szCs w:val="21"/>
              </w:rPr>
            </w:pPr>
            <w:r>
              <w:rPr>
                <w:rFonts w:hint="eastAsia" w:ascii="宋体" w:hAnsi="宋体" w:cs="宋体"/>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822"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Cs w:val="21"/>
              </w:rPr>
            </w:pPr>
            <w:r>
              <w:rPr>
                <w:rFonts w:hint="eastAsia" w:ascii="宋体" w:hAnsi="宋体" w:cs="宋体"/>
                <w:kern w:val="0"/>
                <w:szCs w:val="21"/>
              </w:rPr>
              <w:t>7</w:t>
            </w:r>
          </w:p>
        </w:tc>
        <w:tc>
          <w:tcPr>
            <w:tcW w:w="3642" w:type="dxa"/>
            <w:tcBorders>
              <w:top w:val="nil"/>
              <w:left w:val="nil"/>
              <w:bottom w:val="single" w:color="auto" w:sz="4" w:space="0"/>
              <w:right w:val="single" w:color="auto" w:sz="4" w:space="0"/>
            </w:tcBorders>
            <w:vAlign w:val="center"/>
          </w:tcPr>
          <w:p>
            <w:pPr>
              <w:widowControl/>
              <w:spacing w:line="360" w:lineRule="exact"/>
              <w:jc w:val="center"/>
              <w:rPr>
                <w:rFonts w:ascii="宋体" w:hAnsi="宋体" w:cs="宋体"/>
                <w:b w:val="0"/>
                <w:bCs w:val="0"/>
                <w:kern w:val="0"/>
                <w:szCs w:val="21"/>
              </w:rPr>
            </w:pPr>
            <w:r>
              <w:rPr>
                <w:rFonts w:hint="eastAsia" w:ascii="宋体" w:hAnsi="宋体" w:cs="宋体"/>
                <w:b w:val="0"/>
                <w:bCs w:val="0"/>
                <w:kern w:val="0"/>
                <w:szCs w:val="21"/>
                <w:lang w:eastAsia="zh-CN"/>
              </w:rPr>
              <w:t>双</w:t>
            </w:r>
            <w:r>
              <w:rPr>
                <w:rFonts w:hint="eastAsia" w:ascii="宋体" w:hAnsi="宋体" w:cs="宋体"/>
                <w:b w:val="0"/>
                <w:bCs w:val="0"/>
                <w:kern w:val="0"/>
                <w:szCs w:val="21"/>
              </w:rPr>
              <w:t>工位机构调试台（含机构吊具2件）</w:t>
            </w:r>
          </w:p>
        </w:tc>
        <w:tc>
          <w:tcPr>
            <w:tcW w:w="1547" w:type="dxa"/>
            <w:tcBorders>
              <w:top w:val="nil"/>
              <w:left w:val="nil"/>
              <w:bottom w:val="single" w:color="auto" w:sz="4" w:space="0"/>
              <w:right w:val="single" w:color="auto" w:sz="4" w:space="0"/>
            </w:tcBorders>
            <w:vAlign w:val="center"/>
          </w:tcPr>
          <w:p>
            <w:pPr>
              <w:widowControl/>
              <w:spacing w:line="360" w:lineRule="exact"/>
              <w:jc w:val="center"/>
              <w:rPr>
                <w:rFonts w:ascii="宋体" w:hAnsi="宋体" w:cs="宋体"/>
                <w:b w:val="0"/>
                <w:bCs w:val="0"/>
                <w:kern w:val="0"/>
                <w:szCs w:val="21"/>
              </w:rPr>
            </w:pPr>
            <w:r>
              <w:rPr>
                <w:rFonts w:hint="eastAsia" w:ascii="宋体" w:hAnsi="宋体" w:cs="宋体"/>
                <w:b w:val="0"/>
                <w:bCs w:val="0"/>
                <w:kern w:val="0"/>
                <w:szCs w:val="21"/>
              </w:rPr>
              <w:t>台</w:t>
            </w:r>
          </w:p>
        </w:tc>
        <w:tc>
          <w:tcPr>
            <w:tcW w:w="859" w:type="dxa"/>
            <w:tcBorders>
              <w:top w:val="nil"/>
              <w:left w:val="nil"/>
              <w:bottom w:val="single" w:color="auto" w:sz="4" w:space="0"/>
              <w:right w:val="single" w:color="auto" w:sz="4" w:space="0"/>
            </w:tcBorders>
            <w:vAlign w:val="center"/>
          </w:tcPr>
          <w:p>
            <w:pPr>
              <w:widowControl/>
              <w:spacing w:line="360" w:lineRule="exact"/>
              <w:jc w:val="center"/>
              <w:rPr>
                <w:rFonts w:ascii="宋体" w:hAnsi="宋体" w:cs="宋体"/>
                <w:b w:val="0"/>
                <w:bCs w:val="0"/>
                <w:kern w:val="0"/>
                <w:szCs w:val="21"/>
              </w:rPr>
            </w:pPr>
            <w:r>
              <w:rPr>
                <w:rFonts w:hint="eastAsia" w:ascii="宋体" w:hAnsi="宋体" w:cs="宋体"/>
                <w:b w:val="0"/>
                <w:bCs w:val="0"/>
                <w:kern w:val="0"/>
                <w:szCs w:val="21"/>
              </w:rPr>
              <w:t>1</w:t>
            </w:r>
          </w:p>
        </w:tc>
        <w:tc>
          <w:tcPr>
            <w:tcW w:w="3438" w:type="dxa"/>
            <w:tcBorders>
              <w:top w:val="nil"/>
              <w:left w:val="nil"/>
              <w:bottom w:val="single" w:color="auto" w:sz="4" w:space="0"/>
              <w:right w:val="single" w:color="auto" w:sz="4" w:space="0"/>
            </w:tcBorders>
            <w:vAlign w:val="center"/>
          </w:tcPr>
          <w:p>
            <w:pPr>
              <w:widowControl/>
              <w:spacing w:line="360" w:lineRule="exact"/>
              <w:jc w:val="center"/>
              <w:rPr>
                <w:rFonts w:ascii="宋体" w:hAnsi="宋体" w:cs="宋体"/>
                <w:color w:val="000000"/>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822"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Cs w:val="21"/>
              </w:rPr>
            </w:pPr>
            <w:r>
              <w:rPr>
                <w:rFonts w:hint="eastAsia" w:ascii="宋体" w:hAnsi="宋体" w:cs="宋体"/>
                <w:kern w:val="0"/>
                <w:szCs w:val="21"/>
              </w:rPr>
              <w:t>8</w:t>
            </w:r>
          </w:p>
        </w:tc>
        <w:tc>
          <w:tcPr>
            <w:tcW w:w="3642" w:type="dxa"/>
            <w:tcBorders>
              <w:top w:val="nil"/>
              <w:left w:val="nil"/>
              <w:bottom w:val="single" w:color="auto" w:sz="4" w:space="0"/>
              <w:right w:val="single" w:color="auto" w:sz="4" w:space="0"/>
            </w:tcBorders>
            <w:vAlign w:val="center"/>
          </w:tcPr>
          <w:p>
            <w:pPr>
              <w:widowControl/>
              <w:spacing w:line="360" w:lineRule="exact"/>
              <w:jc w:val="center"/>
              <w:rPr>
                <w:rFonts w:ascii="宋体" w:hAnsi="宋体" w:cs="宋体"/>
                <w:b w:val="0"/>
                <w:bCs w:val="0"/>
                <w:kern w:val="0"/>
                <w:szCs w:val="21"/>
              </w:rPr>
            </w:pPr>
            <w:r>
              <w:rPr>
                <w:rFonts w:hint="eastAsia" w:ascii="宋体" w:hAnsi="宋体" w:cs="宋体"/>
                <w:b w:val="0"/>
                <w:bCs w:val="0"/>
                <w:kern w:val="0"/>
                <w:szCs w:val="21"/>
              </w:rPr>
              <w:t>机构运输存放架</w:t>
            </w:r>
          </w:p>
        </w:tc>
        <w:tc>
          <w:tcPr>
            <w:tcW w:w="1547" w:type="dxa"/>
            <w:tcBorders>
              <w:top w:val="nil"/>
              <w:left w:val="nil"/>
              <w:bottom w:val="single" w:color="auto" w:sz="4" w:space="0"/>
              <w:right w:val="single" w:color="auto" w:sz="4" w:space="0"/>
            </w:tcBorders>
            <w:vAlign w:val="center"/>
          </w:tcPr>
          <w:p>
            <w:pPr>
              <w:widowControl/>
              <w:spacing w:line="360" w:lineRule="exact"/>
              <w:jc w:val="center"/>
              <w:rPr>
                <w:rFonts w:ascii="宋体" w:hAnsi="宋体" w:cs="宋体"/>
                <w:b w:val="0"/>
                <w:bCs w:val="0"/>
                <w:kern w:val="0"/>
                <w:szCs w:val="21"/>
              </w:rPr>
            </w:pPr>
            <w:r>
              <w:rPr>
                <w:rFonts w:hint="eastAsia" w:ascii="宋体" w:hAnsi="宋体" w:cs="宋体"/>
                <w:b w:val="0"/>
                <w:bCs w:val="0"/>
                <w:kern w:val="0"/>
                <w:szCs w:val="21"/>
              </w:rPr>
              <w:t>台</w:t>
            </w:r>
          </w:p>
        </w:tc>
        <w:tc>
          <w:tcPr>
            <w:tcW w:w="859" w:type="dxa"/>
            <w:tcBorders>
              <w:top w:val="nil"/>
              <w:left w:val="nil"/>
              <w:bottom w:val="single" w:color="auto" w:sz="4" w:space="0"/>
              <w:right w:val="single" w:color="auto" w:sz="4" w:space="0"/>
            </w:tcBorders>
            <w:vAlign w:val="center"/>
          </w:tcPr>
          <w:p>
            <w:pPr>
              <w:widowControl/>
              <w:spacing w:line="360" w:lineRule="exact"/>
              <w:jc w:val="center"/>
              <w:rPr>
                <w:rFonts w:ascii="宋体" w:hAnsi="宋体" w:cs="宋体"/>
                <w:b w:val="0"/>
                <w:bCs w:val="0"/>
                <w:kern w:val="0"/>
                <w:szCs w:val="21"/>
              </w:rPr>
            </w:pPr>
            <w:r>
              <w:rPr>
                <w:rFonts w:hint="eastAsia" w:ascii="宋体" w:hAnsi="宋体" w:cs="宋体"/>
                <w:b w:val="0"/>
                <w:bCs w:val="0"/>
                <w:kern w:val="0"/>
                <w:szCs w:val="21"/>
              </w:rPr>
              <w:t>3</w:t>
            </w:r>
          </w:p>
        </w:tc>
        <w:tc>
          <w:tcPr>
            <w:tcW w:w="3438" w:type="dxa"/>
            <w:tcBorders>
              <w:top w:val="nil"/>
              <w:left w:val="nil"/>
              <w:bottom w:val="single" w:color="auto" w:sz="4" w:space="0"/>
              <w:right w:val="single" w:color="auto" w:sz="4" w:space="0"/>
            </w:tcBorders>
            <w:vAlign w:val="center"/>
          </w:tcPr>
          <w:p>
            <w:pPr>
              <w:widowControl/>
              <w:spacing w:line="360" w:lineRule="exact"/>
              <w:jc w:val="center"/>
              <w:rPr>
                <w:rFonts w:ascii="宋体" w:hAnsi="宋体" w:cs="宋体"/>
                <w:color w:val="000000"/>
                <w:kern w:val="0"/>
                <w:szCs w:val="21"/>
                <w:highlight w:val="none"/>
              </w:rPr>
            </w:pPr>
            <w:r>
              <w:rPr>
                <w:rFonts w:hint="eastAsia" w:ascii="宋体" w:hAnsi="宋体" w:cs="宋体"/>
                <w:color w:val="000000"/>
                <w:kern w:val="0"/>
                <w:szCs w:val="21"/>
                <w:highlight w:val="no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822"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Cs w:val="21"/>
              </w:rPr>
            </w:pPr>
            <w:r>
              <w:rPr>
                <w:rFonts w:hint="eastAsia" w:ascii="宋体" w:hAnsi="宋体" w:cs="宋体"/>
                <w:kern w:val="0"/>
                <w:szCs w:val="21"/>
              </w:rPr>
              <w:t>9</w:t>
            </w:r>
          </w:p>
        </w:tc>
        <w:tc>
          <w:tcPr>
            <w:tcW w:w="3642" w:type="dxa"/>
            <w:tcBorders>
              <w:top w:val="nil"/>
              <w:left w:val="nil"/>
              <w:bottom w:val="single" w:color="auto" w:sz="4" w:space="0"/>
              <w:right w:val="single" w:color="auto" w:sz="4" w:space="0"/>
            </w:tcBorders>
            <w:vAlign w:val="center"/>
          </w:tcPr>
          <w:p>
            <w:pPr>
              <w:widowControl/>
              <w:spacing w:line="360" w:lineRule="exact"/>
              <w:jc w:val="center"/>
              <w:rPr>
                <w:rFonts w:ascii="宋体" w:hAnsi="宋体" w:cs="宋体"/>
                <w:b w:val="0"/>
                <w:bCs w:val="0"/>
                <w:kern w:val="0"/>
                <w:szCs w:val="21"/>
              </w:rPr>
            </w:pPr>
            <w:r>
              <w:rPr>
                <w:rFonts w:hint="eastAsia" w:ascii="宋体" w:hAnsi="宋体" w:cs="宋体"/>
                <w:b w:val="0"/>
                <w:bCs w:val="0"/>
                <w:kern w:val="0"/>
                <w:szCs w:val="21"/>
              </w:rPr>
              <w:t>离线油缸组件（三工位）</w:t>
            </w:r>
          </w:p>
        </w:tc>
        <w:tc>
          <w:tcPr>
            <w:tcW w:w="1547" w:type="dxa"/>
            <w:tcBorders>
              <w:top w:val="nil"/>
              <w:left w:val="nil"/>
              <w:bottom w:val="single" w:color="auto" w:sz="4" w:space="0"/>
              <w:right w:val="single" w:color="auto" w:sz="4" w:space="0"/>
            </w:tcBorders>
            <w:vAlign w:val="center"/>
          </w:tcPr>
          <w:p>
            <w:pPr>
              <w:widowControl/>
              <w:spacing w:line="360" w:lineRule="exact"/>
              <w:jc w:val="center"/>
              <w:rPr>
                <w:rFonts w:ascii="宋体" w:hAnsi="宋体" w:cs="宋体"/>
                <w:b w:val="0"/>
                <w:bCs w:val="0"/>
                <w:kern w:val="0"/>
                <w:szCs w:val="21"/>
              </w:rPr>
            </w:pPr>
            <w:r>
              <w:rPr>
                <w:rFonts w:hint="eastAsia" w:ascii="宋体" w:hAnsi="宋体" w:cs="宋体"/>
                <w:b w:val="0"/>
                <w:bCs w:val="0"/>
                <w:kern w:val="0"/>
                <w:szCs w:val="21"/>
              </w:rPr>
              <w:t>套</w:t>
            </w:r>
          </w:p>
        </w:tc>
        <w:tc>
          <w:tcPr>
            <w:tcW w:w="859" w:type="dxa"/>
            <w:tcBorders>
              <w:top w:val="nil"/>
              <w:left w:val="nil"/>
              <w:bottom w:val="single" w:color="auto" w:sz="4" w:space="0"/>
              <w:right w:val="single" w:color="auto" w:sz="4" w:space="0"/>
            </w:tcBorders>
            <w:vAlign w:val="center"/>
          </w:tcPr>
          <w:p>
            <w:pPr>
              <w:widowControl/>
              <w:spacing w:line="360" w:lineRule="exact"/>
              <w:jc w:val="center"/>
              <w:rPr>
                <w:rFonts w:ascii="宋体" w:hAnsi="宋体" w:cs="宋体"/>
                <w:b w:val="0"/>
                <w:bCs w:val="0"/>
                <w:kern w:val="0"/>
                <w:szCs w:val="21"/>
              </w:rPr>
            </w:pPr>
            <w:r>
              <w:rPr>
                <w:rFonts w:hint="eastAsia" w:ascii="宋体" w:hAnsi="宋体" w:cs="宋体"/>
                <w:b w:val="0"/>
                <w:bCs w:val="0"/>
                <w:kern w:val="0"/>
                <w:szCs w:val="21"/>
              </w:rPr>
              <w:t>3</w:t>
            </w:r>
          </w:p>
        </w:tc>
        <w:tc>
          <w:tcPr>
            <w:tcW w:w="3438" w:type="dxa"/>
            <w:tcBorders>
              <w:top w:val="nil"/>
              <w:left w:val="nil"/>
              <w:bottom w:val="single" w:color="auto" w:sz="4" w:space="0"/>
              <w:right w:val="single" w:color="auto" w:sz="4" w:space="0"/>
            </w:tcBorders>
            <w:vAlign w:val="center"/>
          </w:tcPr>
          <w:p>
            <w:pPr>
              <w:widowControl/>
              <w:spacing w:line="360" w:lineRule="exact"/>
              <w:jc w:val="center"/>
              <w:rPr>
                <w:rFonts w:ascii="宋体" w:hAnsi="宋体" w:cs="宋体"/>
                <w:color w:val="000000"/>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822"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Cs w:val="21"/>
              </w:rPr>
            </w:pPr>
            <w:r>
              <w:rPr>
                <w:rFonts w:hint="eastAsia" w:ascii="宋体" w:hAnsi="宋体" w:cs="宋体"/>
                <w:kern w:val="0"/>
                <w:szCs w:val="21"/>
              </w:rPr>
              <w:t>10</w:t>
            </w:r>
          </w:p>
        </w:tc>
        <w:tc>
          <w:tcPr>
            <w:tcW w:w="3642" w:type="dxa"/>
            <w:tcBorders>
              <w:top w:val="nil"/>
              <w:left w:val="nil"/>
              <w:bottom w:val="single" w:color="auto" w:sz="4" w:space="0"/>
              <w:right w:val="single" w:color="auto" w:sz="4" w:space="0"/>
            </w:tcBorders>
            <w:vAlign w:val="center"/>
          </w:tcPr>
          <w:p>
            <w:pPr>
              <w:widowControl/>
              <w:spacing w:line="360" w:lineRule="exact"/>
              <w:jc w:val="center"/>
              <w:rPr>
                <w:rFonts w:ascii="宋体" w:hAnsi="宋体" w:cs="宋体"/>
                <w:b w:val="0"/>
                <w:bCs w:val="0"/>
                <w:kern w:val="0"/>
                <w:szCs w:val="21"/>
              </w:rPr>
            </w:pPr>
            <w:r>
              <w:rPr>
                <w:rFonts w:hint="eastAsia" w:ascii="宋体" w:hAnsi="宋体" w:cs="宋体"/>
                <w:b w:val="0"/>
                <w:bCs w:val="0"/>
                <w:kern w:val="0"/>
                <w:szCs w:val="21"/>
              </w:rPr>
              <w:t>机构更换架</w:t>
            </w:r>
          </w:p>
        </w:tc>
        <w:tc>
          <w:tcPr>
            <w:tcW w:w="1547" w:type="dxa"/>
            <w:tcBorders>
              <w:top w:val="nil"/>
              <w:left w:val="nil"/>
              <w:bottom w:val="single" w:color="auto" w:sz="4" w:space="0"/>
              <w:right w:val="single" w:color="auto" w:sz="4" w:space="0"/>
            </w:tcBorders>
            <w:vAlign w:val="center"/>
          </w:tcPr>
          <w:p>
            <w:pPr>
              <w:widowControl/>
              <w:spacing w:line="360" w:lineRule="exact"/>
              <w:jc w:val="center"/>
              <w:rPr>
                <w:rFonts w:ascii="宋体" w:hAnsi="宋体" w:cs="宋体"/>
                <w:b w:val="0"/>
                <w:bCs w:val="0"/>
                <w:kern w:val="0"/>
                <w:szCs w:val="21"/>
              </w:rPr>
            </w:pPr>
            <w:r>
              <w:rPr>
                <w:rFonts w:hint="eastAsia" w:ascii="宋体" w:hAnsi="宋体" w:cs="宋体"/>
                <w:b w:val="0"/>
                <w:bCs w:val="0"/>
                <w:kern w:val="0"/>
                <w:szCs w:val="21"/>
              </w:rPr>
              <w:t>套</w:t>
            </w:r>
          </w:p>
        </w:tc>
        <w:tc>
          <w:tcPr>
            <w:tcW w:w="859" w:type="dxa"/>
            <w:tcBorders>
              <w:top w:val="nil"/>
              <w:left w:val="nil"/>
              <w:bottom w:val="single" w:color="auto" w:sz="4" w:space="0"/>
              <w:right w:val="single" w:color="auto" w:sz="4" w:space="0"/>
            </w:tcBorders>
            <w:vAlign w:val="center"/>
          </w:tcPr>
          <w:p>
            <w:pPr>
              <w:widowControl/>
              <w:spacing w:line="360" w:lineRule="exact"/>
              <w:jc w:val="center"/>
              <w:rPr>
                <w:rFonts w:ascii="宋体" w:hAnsi="宋体" w:cs="宋体"/>
                <w:b w:val="0"/>
                <w:bCs w:val="0"/>
                <w:kern w:val="0"/>
                <w:szCs w:val="21"/>
              </w:rPr>
            </w:pPr>
            <w:r>
              <w:rPr>
                <w:rFonts w:hint="eastAsia" w:ascii="宋体" w:hAnsi="宋体" w:cs="宋体"/>
                <w:b w:val="0"/>
                <w:bCs w:val="0"/>
                <w:kern w:val="0"/>
                <w:szCs w:val="21"/>
              </w:rPr>
              <w:t>1</w:t>
            </w:r>
          </w:p>
        </w:tc>
        <w:tc>
          <w:tcPr>
            <w:tcW w:w="3438" w:type="dxa"/>
            <w:tcBorders>
              <w:top w:val="nil"/>
              <w:left w:val="nil"/>
              <w:bottom w:val="single" w:color="auto" w:sz="4" w:space="0"/>
              <w:right w:val="single" w:color="auto" w:sz="4" w:space="0"/>
            </w:tcBorders>
            <w:vAlign w:val="center"/>
          </w:tcPr>
          <w:p>
            <w:pPr>
              <w:widowControl/>
              <w:spacing w:line="360" w:lineRule="exact"/>
              <w:jc w:val="center"/>
              <w:rPr>
                <w:rFonts w:ascii="宋体" w:hAnsi="宋体" w:cs="宋体"/>
                <w:color w:val="000000"/>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822"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Cs w:val="21"/>
              </w:rPr>
            </w:pPr>
            <w:r>
              <w:rPr>
                <w:rFonts w:hint="eastAsia" w:ascii="宋体" w:hAnsi="宋体" w:cs="宋体"/>
                <w:kern w:val="0"/>
                <w:szCs w:val="21"/>
              </w:rPr>
              <w:t>11</w:t>
            </w:r>
          </w:p>
        </w:tc>
        <w:tc>
          <w:tcPr>
            <w:tcW w:w="3642" w:type="dxa"/>
            <w:tcBorders>
              <w:top w:val="nil"/>
              <w:left w:val="nil"/>
              <w:bottom w:val="single" w:color="auto" w:sz="4" w:space="0"/>
              <w:right w:val="single" w:color="auto" w:sz="4" w:space="0"/>
            </w:tcBorders>
            <w:vAlign w:val="center"/>
          </w:tcPr>
          <w:p>
            <w:pPr>
              <w:widowControl/>
              <w:spacing w:line="360" w:lineRule="exact"/>
              <w:jc w:val="center"/>
              <w:rPr>
                <w:rFonts w:ascii="宋体" w:hAnsi="宋体" w:cs="宋体"/>
                <w:kern w:val="0"/>
                <w:szCs w:val="21"/>
              </w:rPr>
            </w:pPr>
            <w:r>
              <w:rPr>
                <w:rFonts w:hint="eastAsia" w:ascii="宋体" w:hAnsi="宋体" w:cs="宋体"/>
                <w:kern w:val="0"/>
                <w:szCs w:val="21"/>
              </w:rPr>
              <w:t>油缸托座组件（油缸支撑座）</w:t>
            </w:r>
          </w:p>
        </w:tc>
        <w:tc>
          <w:tcPr>
            <w:tcW w:w="1547" w:type="dxa"/>
            <w:tcBorders>
              <w:top w:val="nil"/>
              <w:left w:val="nil"/>
              <w:bottom w:val="single" w:color="auto" w:sz="4" w:space="0"/>
              <w:right w:val="single" w:color="auto" w:sz="4" w:space="0"/>
            </w:tcBorders>
            <w:vAlign w:val="center"/>
          </w:tcPr>
          <w:p>
            <w:pPr>
              <w:widowControl/>
              <w:spacing w:line="360" w:lineRule="exact"/>
              <w:jc w:val="center"/>
              <w:rPr>
                <w:rFonts w:ascii="宋体" w:hAnsi="宋体" w:cs="宋体"/>
                <w:kern w:val="0"/>
                <w:szCs w:val="21"/>
              </w:rPr>
            </w:pPr>
            <w:r>
              <w:rPr>
                <w:rFonts w:hint="eastAsia" w:ascii="宋体" w:hAnsi="宋体" w:cs="宋体"/>
                <w:kern w:val="0"/>
                <w:szCs w:val="21"/>
              </w:rPr>
              <w:t>套</w:t>
            </w:r>
          </w:p>
        </w:tc>
        <w:tc>
          <w:tcPr>
            <w:tcW w:w="859" w:type="dxa"/>
            <w:tcBorders>
              <w:top w:val="nil"/>
              <w:left w:val="nil"/>
              <w:bottom w:val="single" w:color="auto" w:sz="4" w:space="0"/>
              <w:right w:val="single" w:color="auto" w:sz="4" w:space="0"/>
            </w:tcBorders>
            <w:vAlign w:val="center"/>
          </w:tcPr>
          <w:p>
            <w:pPr>
              <w:widowControl/>
              <w:spacing w:line="360" w:lineRule="exact"/>
              <w:jc w:val="center"/>
              <w:rPr>
                <w:rFonts w:ascii="宋体" w:hAnsi="宋体" w:cs="宋体"/>
                <w:kern w:val="0"/>
                <w:szCs w:val="21"/>
              </w:rPr>
            </w:pPr>
            <w:r>
              <w:rPr>
                <w:rFonts w:hint="eastAsia" w:ascii="宋体" w:hAnsi="宋体" w:cs="宋体"/>
                <w:kern w:val="0"/>
                <w:szCs w:val="21"/>
              </w:rPr>
              <w:t>2</w:t>
            </w:r>
          </w:p>
        </w:tc>
        <w:tc>
          <w:tcPr>
            <w:tcW w:w="3438" w:type="dxa"/>
            <w:tcBorders>
              <w:top w:val="nil"/>
              <w:left w:val="nil"/>
              <w:bottom w:val="single" w:color="auto" w:sz="4" w:space="0"/>
              <w:right w:val="single" w:color="auto" w:sz="4" w:space="0"/>
            </w:tcBorders>
            <w:vAlign w:val="center"/>
          </w:tcPr>
          <w:p>
            <w:pPr>
              <w:widowControl/>
              <w:spacing w:line="360" w:lineRule="exact"/>
              <w:jc w:val="center"/>
              <w:rPr>
                <w:rFonts w:ascii="宋体" w:hAnsi="宋体" w:cs="宋体"/>
                <w:color w:val="000000"/>
                <w:kern w:val="0"/>
                <w:szCs w:val="21"/>
                <w:highlight w:val="none"/>
              </w:rPr>
            </w:pPr>
            <w:r>
              <w:rPr>
                <w:rFonts w:hint="eastAsia" w:ascii="宋体" w:hAnsi="宋体" w:cs="宋体"/>
                <w:color w:val="000000"/>
                <w:kern w:val="0"/>
                <w:szCs w:val="21"/>
                <w:highlight w:val="no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822"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Cs w:val="21"/>
              </w:rPr>
            </w:pPr>
            <w:r>
              <w:rPr>
                <w:rFonts w:hint="eastAsia" w:ascii="宋体" w:hAnsi="宋体" w:cs="宋体"/>
                <w:kern w:val="0"/>
                <w:szCs w:val="21"/>
              </w:rPr>
              <w:t>12</w:t>
            </w:r>
          </w:p>
        </w:tc>
        <w:tc>
          <w:tcPr>
            <w:tcW w:w="3642" w:type="dxa"/>
            <w:tcBorders>
              <w:top w:val="nil"/>
              <w:left w:val="nil"/>
              <w:bottom w:val="single" w:color="auto" w:sz="4" w:space="0"/>
              <w:right w:val="single" w:color="auto" w:sz="4" w:space="0"/>
            </w:tcBorders>
            <w:vAlign w:val="center"/>
          </w:tcPr>
          <w:p>
            <w:pPr>
              <w:widowControl/>
              <w:spacing w:line="360" w:lineRule="exact"/>
              <w:jc w:val="center"/>
              <w:rPr>
                <w:rFonts w:ascii="宋体" w:hAnsi="宋体" w:cs="宋体"/>
                <w:kern w:val="0"/>
                <w:szCs w:val="21"/>
              </w:rPr>
            </w:pPr>
            <w:r>
              <w:rPr>
                <w:rFonts w:hint="eastAsia" w:ascii="宋体" w:hAnsi="宋体" w:cs="宋体"/>
                <w:kern w:val="0"/>
                <w:szCs w:val="21"/>
              </w:rPr>
              <w:t>离线液压站（三阀组）</w:t>
            </w:r>
          </w:p>
        </w:tc>
        <w:tc>
          <w:tcPr>
            <w:tcW w:w="1547" w:type="dxa"/>
            <w:tcBorders>
              <w:top w:val="nil"/>
              <w:left w:val="nil"/>
              <w:bottom w:val="single" w:color="auto" w:sz="4" w:space="0"/>
              <w:right w:val="single" w:color="auto" w:sz="4" w:space="0"/>
            </w:tcBorders>
            <w:vAlign w:val="center"/>
          </w:tcPr>
          <w:p>
            <w:pPr>
              <w:widowControl/>
              <w:spacing w:line="360" w:lineRule="exact"/>
              <w:jc w:val="center"/>
              <w:rPr>
                <w:rFonts w:ascii="宋体" w:hAnsi="宋体" w:cs="宋体"/>
                <w:kern w:val="0"/>
                <w:szCs w:val="21"/>
              </w:rPr>
            </w:pPr>
            <w:r>
              <w:rPr>
                <w:rFonts w:hint="eastAsia" w:ascii="宋体" w:hAnsi="宋体" w:cs="宋体"/>
                <w:kern w:val="0"/>
                <w:szCs w:val="21"/>
              </w:rPr>
              <w:t>套</w:t>
            </w:r>
          </w:p>
        </w:tc>
        <w:tc>
          <w:tcPr>
            <w:tcW w:w="859" w:type="dxa"/>
            <w:tcBorders>
              <w:top w:val="nil"/>
              <w:left w:val="nil"/>
              <w:bottom w:val="single" w:color="auto" w:sz="4" w:space="0"/>
              <w:right w:val="single" w:color="auto" w:sz="4" w:space="0"/>
            </w:tcBorders>
            <w:vAlign w:val="center"/>
          </w:tcPr>
          <w:p>
            <w:pPr>
              <w:widowControl/>
              <w:spacing w:line="360" w:lineRule="exact"/>
              <w:jc w:val="center"/>
              <w:rPr>
                <w:rFonts w:ascii="宋体" w:hAnsi="宋体" w:cs="宋体"/>
                <w:kern w:val="0"/>
                <w:szCs w:val="21"/>
              </w:rPr>
            </w:pPr>
            <w:r>
              <w:rPr>
                <w:rFonts w:hint="eastAsia" w:ascii="宋体" w:hAnsi="宋体" w:cs="宋体"/>
                <w:kern w:val="0"/>
                <w:szCs w:val="21"/>
              </w:rPr>
              <w:t>1</w:t>
            </w:r>
          </w:p>
        </w:tc>
        <w:tc>
          <w:tcPr>
            <w:tcW w:w="3438" w:type="dxa"/>
            <w:tcBorders>
              <w:top w:val="nil"/>
              <w:left w:val="nil"/>
              <w:bottom w:val="single" w:color="auto" w:sz="4" w:space="0"/>
              <w:right w:val="single" w:color="auto" w:sz="4" w:space="0"/>
            </w:tcBorders>
            <w:vAlign w:val="center"/>
          </w:tcPr>
          <w:p>
            <w:pPr>
              <w:widowControl/>
              <w:spacing w:line="360" w:lineRule="exact"/>
              <w:jc w:val="center"/>
              <w:rPr>
                <w:rFonts w:ascii="宋体" w:hAnsi="宋体" w:cs="宋体"/>
                <w:color w:val="000000"/>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822"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Cs w:val="21"/>
              </w:rPr>
            </w:pPr>
            <w:r>
              <w:rPr>
                <w:rFonts w:hint="eastAsia" w:ascii="宋体" w:hAnsi="宋体" w:cs="宋体"/>
                <w:kern w:val="0"/>
                <w:szCs w:val="21"/>
              </w:rPr>
              <w:t>13</w:t>
            </w:r>
          </w:p>
        </w:tc>
        <w:tc>
          <w:tcPr>
            <w:tcW w:w="3642" w:type="dxa"/>
            <w:tcBorders>
              <w:top w:val="nil"/>
              <w:left w:val="nil"/>
              <w:bottom w:val="single" w:color="auto" w:sz="4" w:space="0"/>
              <w:right w:val="single" w:color="auto" w:sz="4" w:space="0"/>
            </w:tcBorders>
            <w:vAlign w:val="center"/>
          </w:tcPr>
          <w:p>
            <w:pPr>
              <w:widowControl/>
              <w:spacing w:line="360" w:lineRule="exact"/>
              <w:jc w:val="center"/>
              <w:rPr>
                <w:rFonts w:ascii="宋体" w:hAnsi="宋体" w:cs="宋体"/>
                <w:kern w:val="0"/>
                <w:szCs w:val="21"/>
              </w:rPr>
            </w:pPr>
            <w:r>
              <w:rPr>
                <w:rFonts w:hint="eastAsia" w:ascii="宋体" w:hAnsi="宋体" w:cs="宋体"/>
                <w:kern w:val="0"/>
                <w:szCs w:val="21"/>
              </w:rPr>
              <w:t>离线液压站用抗磨液压油</w:t>
            </w:r>
          </w:p>
        </w:tc>
        <w:tc>
          <w:tcPr>
            <w:tcW w:w="1547" w:type="dxa"/>
            <w:tcBorders>
              <w:top w:val="nil"/>
              <w:left w:val="nil"/>
              <w:bottom w:val="single" w:color="auto" w:sz="4" w:space="0"/>
              <w:right w:val="single" w:color="auto" w:sz="4" w:space="0"/>
            </w:tcBorders>
            <w:vAlign w:val="center"/>
          </w:tcPr>
          <w:p>
            <w:pPr>
              <w:widowControl/>
              <w:spacing w:line="360" w:lineRule="exact"/>
              <w:jc w:val="center"/>
              <w:rPr>
                <w:rFonts w:ascii="宋体" w:hAnsi="宋体" w:cs="宋体"/>
                <w:kern w:val="0"/>
                <w:szCs w:val="21"/>
              </w:rPr>
            </w:pPr>
            <w:r>
              <w:rPr>
                <w:rFonts w:hint="eastAsia" w:ascii="宋体" w:hAnsi="宋体" w:cs="宋体"/>
                <w:kern w:val="0"/>
                <w:szCs w:val="21"/>
              </w:rPr>
              <w:t>吨</w:t>
            </w:r>
          </w:p>
        </w:tc>
        <w:tc>
          <w:tcPr>
            <w:tcW w:w="859" w:type="dxa"/>
            <w:tcBorders>
              <w:top w:val="nil"/>
              <w:left w:val="nil"/>
              <w:bottom w:val="single" w:color="auto" w:sz="4" w:space="0"/>
              <w:right w:val="single" w:color="auto" w:sz="4" w:space="0"/>
            </w:tcBorders>
            <w:vAlign w:val="center"/>
          </w:tcPr>
          <w:p>
            <w:pPr>
              <w:widowControl/>
              <w:spacing w:line="360" w:lineRule="exact"/>
              <w:jc w:val="center"/>
              <w:rPr>
                <w:rFonts w:ascii="宋体" w:hAnsi="宋体" w:cs="宋体"/>
                <w:kern w:val="0"/>
                <w:szCs w:val="21"/>
              </w:rPr>
            </w:pPr>
            <w:r>
              <w:rPr>
                <w:rFonts w:hint="eastAsia" w:ascii="宋体" w:hAnsi="宋体" w:cs="宋体"/>
                <w:kern w:val="0"/>
                <w:szCs w:val="21"/>
              </w:rPr>
              <w:t>0.3</w:t>
            </w:r>
          </w:p>
        </w:tc>
        <w:tc>
          <w:tcPr>
            <w:tcW w:w="3438" w:type="dxa"/>
            <w:tcBorders>
              <w:top w:val="nil"/>
              <w:left w:val="nil"/>
              <w:bottom w:val="single" w:color="auto" w:sz="4" w:space="0"/>
              <w:right w:val="single" w:color="auto" w:sz="4" w:space="0"/>
            </w:tcBorders>
            <w:vAlign w:val="center"/>
          </w:tcPr>
          <w:p>
            <w:pPr>
              <w:widowControl/>
              <w:spacing w:line="360" w:lineRule="exact"/>
              <w:jc w:val="center"/>
              <w:rPr>
                <w:rFonts w:ascii="宋体" w:hAnsi="宋体" w:cs="宋体"/>
                <w:color w:val="000000"/>
                <w:kern w:val="0"/>
                <w:szCs w:val="21"/>
                <w:highlight w:val="none"/>
              </w:rPr>
            </w:pPr>
          </w:p>
        </w:tc>
      </w:tr>
    </w:tbl>
    <w:p>
      <w:pPr>
        <w:spacing w:line="400" w:lineRule="exact"/>
        <w:ind w:firstLine="480" w:firstLineChars="200"/>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2</w:t>
      </w:r>
      <w:r>
        <w:rPr>
          <w:rFonts w:hint="eastAsia" w:ascii="宋体" w:hAnsi="宋体" w:cs="宋体"/>
          <w:sz w:val="24"/>
          <w:szCs w:val="24"/>
        </w:rPr>
        <w:t>)甲方负责提供安装所需的能源介质及大型工器具（如叉车、电葫芦等）；</w:t>
      </w:r>
    </w:p>
    <w:p>
      <w:pPr>
        <w:spacing w:line="400" w:lineRule="exact"/>
        <w:ind w:firstLine="480" w:firstLineChars="200"/>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3</w:t>
      </w:r>
      <w:r>
        <w:rPr>
          <w:rFonts w:hint="eastAsia" w:ascii="宋体" w:hAnsi="宋体" w:cs="宋体"/>
          <w:sz w:val="24"/>
          <w:szCs w:val="24"/>
        </w:rPr>
        <w:t>)甲方根据乙方的作业情况，及时提出评估意见并支付承包费。</w:t>
      </w:r>
    </w:p>
    <w:p>
      <w:pPr>
        <w:spacing w:line="400" w:lineRule="exact"/>
        <w:ind w:firstLine="480" w:firstLineChars="200"/>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4</w:t>
      </w:r>
      <w:r>
        <w:rPr>
          <w:rFonts w:hint="eastAsia" w:ascii="宋体" w:hAnsi="宋体" w:cs="宋体"/>
          <w:sz w:val="24"/>
          <w:szCs w:val="24"/>
        </w:rPr>
        <w:t>)炉体的水管、油管更换及维护由甲方负责。</w:t>
      </w:r>
    </w:p>
    <w:p>
      <w:pPr>
        <w:spacing w:line="400" w:lineRule="exact"/>
        <w:ind w:firstLine="360" w:firstLineChars="150"/>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5</w:t>
      </w:r>
      <w:r>
        <w:rPr>
          <w:rFonts w:hint="eastAsia" w:ascii="宋体" w:hAnsi="宋体" w:cs="宋体"/>
          <w:sz w:val="24"/>
          <w:szCs w:val="24"/>
        </w:rPr>
        <w:t>）甲方负责对转炉滑板挡渣系统设备（包括在线液压站、离线液压站、旋转接头及红外下渣检测系统）的点检、维护、更换工作，保证设备系统稳定运行。</w:t>
      </w:r>
    </w:p>
    <w:p>
      <w:pPr>
        <w:spacing w:line="400" w:lineRule="exact"/>
        <w:ind w:firstLine="360" w:firstLineChars="150"/>
        <w:rPr>
          <w:rFonts w:hint="eastAsia" w:ascii="宋体" w:hAnsi="宋体" w:cs="宋体"/>
          <w:sz w:val="24"/>
          <w:szCs w:val="24"/>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6</w:t>
      </w:r>
      <w:r>
        <w:rPr>
          <w:rFonts w:hint="eastAsia" w:ascii="宋体" w:hAnsi="宋体" w:cs="宋体"/>
          <w:sz w:val="24"/>
          <w:szCs w:val="24"/>
          <w:highlight w:val="none"/>
          <w:lang w:eastAsia="zh-CN"/>
        </w:rPr>
        <w:t>）</w:t>
      </w:r>
      <w:r>
        <w:rPr>
          <w:rFonts w:hint="eastAsia" w:ascii="宋体" w:hAnsi="宋体" w:cs="宋体"/>
          <w:sz w:val="24"/>
          <w:szCs w:val="24"/>
          <w:lang w:eastAsia="zh-CN"/>
        </w:rPr>
        <w:t>除</w:t>
      </w:r>
      <w:r>
        <w:rPr>
          <w:rFonts w:hint="eastAsia" w:ascii="宋体" w:hAnsi="宋体" w:cs="宋体"/>
          <w:sz w:val="24"/>
          <w:szCs w:val="24"/>
        </w:rPr>
        <w:t>ZZF-4ZHH-150-230</w:t>
      </w:r>
      <w:r>
        <w:rPr>
          <w:rFonts w:hint="eastAsia" w:ascii="宋体" w:hAnsi="宋体" w:cs="宋体"/>
          <w:sz w:val="24"/>
          <w:szCs w:val="24"/>
          <w:lang w:eastAsia="zh-CN"/>
        </w:rPr>
        <w:t>和</w:t>
      </w:r>
      <w:r>
        <w:rPr>
          <w:rFonts w:hint="eastAsia" w:ascii="宋体" w:hAnsi="宋体" w:cs="宋体"/>
          <w:sz w:val="24"/>
          <w:szCs w:val="24"/>
        </w:rPr>
        <w:t>滑板挡渣机构</w:t>
      </w:r>
      <w:r>
        <w:rPr>
          <w:rFonts w:hint="eastAsia" w:ascii="宋体" w:hAnsi="宋体" w:cs="宋体"/>
          <w:sz w:val="24"/>
          <w:szCs w:val="24"/>
          <w:lang w:eastAsia="zh-CN"/>
        </w:rPr>
        <w:t>相关的备品备件外，其他备品备件由甲方提供，但因乙方原因损坏的由乙方负责提供。</w:t>
      </w:r>
    </w:p>
    <w:p>
      <w:pPr>
        <w:spacing w:line="400" w:lineRule="exact"/>
        <w:ind w:firstLine="480" w:firstLineChars="200"/>
        <w:rPr>
          <w:rFonts w:ascii="宋体" w:hAnsi="宋体" w:cs="宋体"/>
          <w:sz w:val="24"/>
          <w:szCs w:val="24"/>
        </w:rPr>
      </w:pPr>
      <w:r>
        <w:rPr>
          <w:rFonts w:hint="eastAsia" w:ascii="宋体" w:hAnsi="宋体" w:cs="宋体"/>
          <w:sz w:val="24"/>
          <w:szCs w:val="24"/>
        </w:rPr>
        <w:t>2、乙方责任与义务</w:t>
      </w:r>
    </w:p>
    <w:p>
      <w:pPr>
        <w:spacing w:line="400" w:lineRule="exact"/>
        <w:ind w:firstLine="480" w:firstLineChars="200"/>
        <w:rPr>
          <w:rFonts w:ascii="宋体" w:hAnsi="宋体" w:cs="宋体"/>
          <w:sz w:val="24"/>
          <w:szCs w:val="24"/>
        </w:rPr>
      </w:pPr>
      <w:r>
        <w:rPr>
          <w:rFonts w:hint="eastAsia" w:ascii="宋体" w:hAnsi="宋体" w:cs="宋体"/>
          <w:sz w:val="24"/>
          <w:szCs w:val="24"/>
        </w:rPr>
        <w:t>（1）乙方为甲方提供挡渣系统服务（并</w:t>
      </w:r>
      <w:r>
        <w:rPr>
          <w:rFonts w:hint="eastAsia" w:ascii="宋体" w:hAnsi="宋体" w:cs="宋体"/>
          <w:sz w:val="24"/>
          <w:szCs w:val="24"/>
          <w:lang w:eastAsia="zh-CN"/>
        </w:rPr>
        <w:t>提供</w:t>
      </w:r>
      <w:r>
        <w:rPr>
          <w:rFonts w:hint="eastAsia" w:ascii="宋体" w:hAnsi="宋体" w:cs="宋体"/>
          <w:sz w:val="24"/>
          <w:szCs w:val="24"/>
        </w:rPr>
        <w:t>ZZF-4ZHH-150-230</w:t>
      </w:r>
      <w:r>
        <w:rPr>
          <w:rFonts w:hint="eastAsia" w:ascii="宋体" w:hAnsi="宋体" w:cs="宋体"/>
          <w:sz w:val="24"/>
          <w:szCs w:val="24"/>
          <w:lang w:eastAsia="zh-CN"/>
        </w:rPr>
        <w:t>和</w:t>
      </w:r>
      <w:r>
        <w:rPr>
          <w:rFonts w:hint="eastAsia" w:ascii="宋体" w:hAnsi="宋体" w:cs="宋体"/>
          <w:sz w:val="24"/>
          <w:szCs w:val="24"/>
        </w:rPr>
        <w:t>滑板挡渣机构</w:t>
      </w:r>
      <w:r>
        <w:rPr>
          <w:rFonts w:hint="eastAsia" w:ascii="宋体" w:hAnsi="宋体" w:cs="宋体"/>
          <w:sz w:val="24"/>
          <w:szCs w:val="24"/>
          <w:lang w:eastAsia="zh-CN"/>
        </w:rPr>
        <w:t>相应的备品备件</w:t>
      </w:r>
      <w:r>
        <w:rPr>
          <w:rFonts w:hint="eastAsia" w:ascii="宋体" w:hAnsi="宋体" w:cs="宋体"/>
          <w:sz w:val="24"/>
          <w:szCs w:val="24"/>
        </w:rPr>
        <w:t>及耐材（</w:t>
      </w:r>
      <w:r>
        <w:rPr>
          <w:rFonts w:hint="eastAsia" w:ascii="宋体" w:hAnsi="宋体" w:cs="宋体"/>
          <w:sz w:val="24"/>
          <w:szCs w:val="24"/>
          <w:lang w:eastAsia="zh-CN"/>
        </w:rPr>
        <w:t>出钢口、</w:t>
      </w:r>
      <w:r>
        <w:rPr>
          <w:rFonts w:hint="eastAsia" w:ascii="宋体" w:hAnsi="宋体" w:cs="宋体"/>
          <w:sz w:val="24"/>
          <w:szCs w:val="24"/>
        </w:rPr>
        <w:t>内水口砖、外水口砖、内滑板砖、外滑板砖等）），甲方负责监督和验收</w:t>
      </w:r>
      <w:r>
        <w:rPr>
          <w:rFonts w:hint="eastAsia" w:ascii="宋体" w:hAnsi="宋体" w:cs="宋体"/>
          <w:sz w:val="24"/>
          <w:szCs w:val="24"/>
          <w:lang w:eastAsia="zh-CN"/>
        </w:rPr>
        <w:t>备品</w:t>
      </w:r>
      <w:r>
        <w:rPr>
          <w:rFonts w:hint="eastAsia" w:ascii="宋体" w:hAnsi="宋体" w:cs="宋体"/>
          <w:sz w:val="24"/>
          <w:szCs w:val="24"/>
        </w:rPr>
        <w:t>备件和耐材备料的准备和质量情况，并给予乙方必要的协助和配合；</w:t>
      </w:r>
      <w:r>
        <w:rPr>
          <w:rFonts w:hint="eastAsia" w:ascii="宋体" w:hAnsi="宋体" w:cs="宋体"/>
          <w:sz w:val="24"/>
          <w:szCs w:val="24"/>
          <w:lang w:eastAsia="zh-CN"/>
        </w:rPr>
        <w:t>现场保管和准备工作由乙方负责</w:t>
      </w:r>
    </w:p>
    <w:p>
      <w:pPr>
        <w:spacing w:line="400" w:lineRule="exact"/>
        <w:ind w:firstLine="480" w:firstLineChars="200"/>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2</w:t>
      </w:r>
      <w:r>
        <w:rPr>
          <w:rFonts w:hint="eastAsia" w:ascii="宋体" w:hAnsi="宋体" w:cs="宋体"/>
          <w:sz w:val="24"/>
          <w:szCs w:val="24"/>
        </w:rPr>
        <w:t>）乙方负责配备甲方生产区域的工作人员，工作人员需严格执行甲方的《工艺规程》、《安全规程》、《岗位操作标准》及各种制度；</w:t>
      </w:r>
    </w:p>
    <w:p>
      <w:pPr>
        <w:spacing w:line="400" w:lineRule="exact"/>
        <w:ind w:firstLine="480" w:firstLineChars="200"/>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3</w:t>
      </w:r>
      <w:r>
        <w:rPr>
          <w:rFonts w:hint="eastAsia" w:ascii="宋体" w:hAnsi="宋体" w:cs="宋体"/>
          <w:sz w:val="24"/>
          <w:szCs w:val="24"/>
        </w:rPr>
        <w:t>）乙方负责保持所辖现场区域符合公司6S标准的相关要求；负责所辖设备、工吊具的检查、使用、保管、维护工作，发现问题及时向主管领导汇报并及时更换；</w:t>
      </w:r>
    </w:p>
    <w:p>
      <w:pPr>
        <w:spacing w:line="400" w:lineRule="exact"/>
        <w:ind w:firstLine="480" w:firstLineChars="200"/>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4</w:t>
      </w:r>
      <w:r>
        <w:rPr>
          <w:rFonts w:hint="eastAsia" w:ascii="宋体" w:hAnsi="宋体" w:cs="宋体"/>
          <w:sz w:val="24"/>
          <w:szCs w:val="24"/>
        </w:rPr>
        <w:t>）因甲方问题导致滑板挡渣使用出现问题，乙方可提出改进要求。</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5</w:t>
      </w:r>
      <w:r>
        <w:rPr>
          <w:rFonts w:hint="eastAsia" w:ascii="宋体" w:hAnsi="宋体" w:cs="宋体"/>
          <w:sz w:val="24"/>
          <w:szCs w:val="24"/>
        </w:rPr>
        <w:t>）乙方必须无条件需配合甲方对</w:t>
      </w:r>
      <w:r>
        <w:rPr>
          <w:rFonts w:hint="eastAsia" w:ascii="宋体" w:hAnsi="宋体" w:cs="宋体"/>
          <w:sz w:val="24"/>
          <w:szCs w:val="24"/>
          <w:lang w:eastAsia="zh-CN"/>
        </w:rPr>
        <w:t>硬件</w:t>
      </w:r>
      <w:r>
        <w:rPr>
          <w:rFonts w:hint="eastAsia" w:ascii="宋体" w:hAnsi="宋体" w:cs="宋体"/>
          <w:sz w:val="24"/>
          <w:szCs w:val="24"/>
        </w:rPr>
        <w:t>机构和耐材方面进行整改和改进。</w:t>
      </w:r>
    </w:p>
    <w:p>
      <w:pPr>
        <w:spacing w:line="360" w:lineRule="exact"/>
        <w:ind w:firstLine="480" w:firstLineChars="200"/>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6</w:t>
      </w:r>
      <w:r>
        <w:rPr>
          <w:rFonts w:hint="eastAsia" w:ascii="宋体" w:hAnsi="宋体" w:cs="宋体"/>
          <w:sz w:val="24"/>
          <w:szCs w:val="24"/>
          <w:lang w:eastAsia="zh-CN"/>
        </w:rPr>
        <w:t>）负责</w:t>
      </w:r>
      <w:r>
        <w:rPr>
          <w:rFonts w:hint="eastAsia" w:ascii="宋体" w:hAnsi="宋体" w:cs="宋体"/>
          <w:sz w:val="24"/>
          <w:szCs w:val="24"/>
        </w:rPr>
        <w:t>所需耐材的安装、离线、在线维护，</w:t>
      </w:r>
      <w:r>
        <w:rPr>
          <w:rFonts w:hint="eastAsia" w:ascii="宋体" w:hAnsi="宋体" w:cs="宋体"/>
          <w:sz w:val="24"/>
          <w:szCs w:val="24"/>
          <w:lang w:eastAsia="zh-CN"/>
        </w:rPr>
        <w:t>硬件</w:t>
      </w:r>
      <w:r>
        <w:rPr>
          <w:rFonts w:hint="eastAsia" w:ascii="宋体" w:hAnsi="宋体" w:cs="宋体"/>
          <w:sz w:val="24"/>
          <w:szCs w:val="24"/>
        </w:rPr>
        <w:t>机构的解体重组、在线、离线的拆解安装、机构本体及转炉出钢口部位粘渣沾钢的清理（安装维护工具自备）。</w:t>
      </w:r>
    </w:p>
    <w:p>
      <w:pPr>
        <w:spacing w:line="360" w:lineRule="exact"/>
        <w:ind w:firstLine="480" w:firstLineChars="200"/>
        <w:rPr>
          <w:rFonts w:hint="eastAsia" w:ascii="宋体" w:hAnsi="宋体" w:eastAsia="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7</w:t>
      </w:r>
      <w:r>
        <w:rPr>
          <w:rFonts w:hint="eastAsia" w:ascii="宋体" w:hAnsi="宋体" w:cs="宋体"/>
          <w:sz w:val="24"/>
          <w:szCs w:val="24"/>
          <w:lang w:eastAsia="zh-CN"/>
        </w:rPr>
        <w:t>）新旧厂家交接过程中保证滑板档渣机构及相关离线机构完好。</w:t>
      </w:r>
    </w:p>
    <w:p>
      <w:pPr>
        <w:spacing w:line="400" w:lineRule="exact"/>
        <w:ind w:firstLine="480" w:firstLineChars="200"/>
        <w:rPr>
          <w:rFonts w:ascii="宋体" w:hAnsi="宋体" w:cs="宋体"/>
          <w:sz w:val="24"/>
          <w:szCs w:val="24"/>
        </w:rPr>
      </w:pPr>
      <w:r>
        <w:rPr>
          <w:rFonts w:hint="eastAsia" w:ascii="宋体" w:hAnsi="宋体" w:cs="宋体"/>
          <w:sz w:val="24"/>
          <w:szCs w:val="24"/>
        </w:rPr>
        <w:t>3、主要技术要求</w:t>
      </w:r>
    </w:p>
    <w:p>
      <w:pPr>
        <w:spacing w:line="400" w:lineRule="exact"/>
        <w:ind w:firstLine="480" w:firstLineChars="200"/>
        <w:rPr>
          <w:rFonts w:ascii="宋体" w:hAnsi="宋体" w:cs="宋体"/>
          <w:sz w:val="24"/>
          <w:szCs w:val="24"/>
        </w:rPr>
      </w:pPr>
      <w:r>
        <w:rPr>
          <w:rFonts w:hint="eastAsia" w:ascii="宋体" w:hAnsi="宋体" w:cs="宋体"/>
          <w:sz w:val="24"/>
          <w:szCs w:val="24"/>
        </w:rPr>
        <w:t>3.1挡渣闸阀机构工作环境恶劣，高温，多尘，能承受高温烘烤，不严重变形。机构安装板、门框、滑动框小车、顶紧套、顶紧器等主要零部件要求用耐热铸钢件。所有隔热板使用耐热钢件。</w:t>
      </w:r>
    </w:p>
    <w:p>
      <w:pPr>
        <w:spacing w:line="400" w:lineRule="exact"/>
        <w:ind w:firstLine="480" w:firstLineChars="200"/>
        <w:rPr>
          <w:rFonts w:ascii="宋体" w:hAnsi="宋体" w:cs="宋体"/>
          <w:sz w:val="24"/>
          <w:szCs w:val="24"/>
        </w:rPr>
      </w:pPr>
      <w:r>
        <w:rPr>
          <w:rFonts w:hint="eastAsia" w:ascii="宋体" w:hAnsi="宋体" w:cs="宋体"/>
          <w:sz w:val="24"/>
          <w:szCs w:val="24"/>
        </w:rPr>
        <w:t>3.2机构主要部件使用寿命≥1000炉</w:t>
      </w:r>
    </w:p>
    <w:p>
      <w:pPr>
        <w:spacing w:line="400" w:lineRule="exact"/>
        <w:ind w:firstLine="480" w:firstLineChars="200"/>
        <w:rPr>
          <w:rFonts w:ascii="宋体" w:hAnsi="宋体" w:cs="宋体"/>
          <w:sz w:val="24"/>
          <w:szCs w:val="24"/>
        </w:rPr>
      </w:pPr>
      <w:r>
        <w:rPr>
          <w:rFonts w:hint="eastAsia" w:ascii="宋体" w:hAnsi="宋体" w:cs="宋体"/>
          <w:sz w:val="24"/>
          <w:szCs w:val="24"/>
        </w:rPr>
        <w:t>3.3滑条使用寿命≥300炉</w:t>
      </w:r>
    </w:p>
    <w:p>
      <w:pPr>
        <w:spacing w:line="400" w:lineRule="exact"/>
        <w:ind w:firstLine="480" w:firstLineChars="200"/>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w:t>
      </w:r>
      <w:r>
        <w:rPr>
          <w:rFonts w:hint="eastAsia" w:ascii="宋体" w:hAnsi="宋体" w:cs="宋体"/>
          <w:sz w:val="24"/>
          <w:szCs w:val="24"/>
        </w:rPr>
        <w:t>4顶紧套使用寿命≥300炉</w:t>
      </w:r>
    </w:p>
    <w:p>
      <w:pPr>
        <w:spacing w:line="400" w:lineRule="exact"/>
        <w:ind w:firstLine="480" w:firstLineChars="200"/>
        <w:rPr>
          <w:rFonts w:ascii="宋体" w:hAnsi="宋体" w:cs="宋体"/>
          <w:sz w:val="24"/>
          <w:szCs w:val="24"/>
        </w:rPr>
      </w:pPr>
      <w:r>
        <w:rPr>
          <w:rFonts w:hint="eastAsia" w:ascii="宋体" w:hAnsi="宋体" w:cs="宋体"/>
          <w:sz w:val="24"/>
          <w:szCs w:val="24"/>
        </w:rPr>
        <w:t>3.5顶紧器使用寿命≥100炉</w:t>
      </w:r>
    </w:p>
    <w:p>
      <w:pPr>
        <w:spacing w:line="400" w:lineRule="exact"/>
        <w:ind w:firstLine="480" w:firstLineChars="200"/>
        <w:rPr>
          <w:rFonts w:ascii="宋体" w:hAnsi="宋体" w:cs="宋体"/>
          <w:sz w:val="24"/>
          <w:szCs w:val="24"/>
        </w:rPr>
      </w:pPr>
      <w:r>
        <w:rPr>
          <w:rFonts w:hint="eastAsia" w:ascii="宋体" w:hAnsi="宋体" w:cs="宋体"/>
          <w:sz w:val="24"/>
          <w:szCs w:val="24"/>
        </w:rPr>
        <w:t>3.6弹簧寿命≥1000炉</w:t>
      </w:r>
    </w:p>
    <w:p>
      <w:pPr>
        <w:spacing w:line="400" w:lineRule="exact"/>
        <w:ind w:firstLine="480" w:firstLineChars="200"/>
        <w:rPr>
          <w:rFonts w:ascii="宋体" w:hAnsi="宋体" w:cs="宋体"/>
          <w:sz w:val="24"/>
          <w:szCs w:val="24"/>
        </w:rPr>
      </w:pPr>
      <w:r>
        <w:rPr>
          <w:rFonts w:hint="eastAsia" w:ascii="宋体" w:hAnsi="宋体" w:cs="宋体"/>
          <w:sz w:val="24"/>
          <w:szCs w:val="24"/>
        </w:rPr>
        <w:t>3.7水冷油缸密封件使用寿命≥1个月</w:t>
      </w:r>
    </w:p>
    <w:p>
      <w:pPr>
        <w:spacing w:line="400" w:lineRule="exact"/>
        <w:ind w:firstLine="480" w:firstLineChars="200"/>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8</w:t>
      </w:r>
      <w:r>
        <w:rPr>
          <w:rFonts w:hint="eastAsia" w:ascii="宋体" w:hAnsi="宋体" w:cs="宋体"/>
          <w:sz w:val="24"/>
          <w:szCs w:val="24"/>
        </w:rPr>
        <w:t>滑板砖寿命</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原则上滑板砖的使用寿命≥15次。若单炉前后挡均使用，滑板砖寿命按两次计算，按单滑板产量双倍结算，不使用滑板档渣，按0.3倍单滑板产量结算。</w:t>
      </w:r>
    </w:p>
    <w:p>
      <w:pPr>
        <w:spacing w:line="40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3.9出钢口寿命</w:t>
      </w:r>
    </w:p>
    <w:p>
      <w:pPr>
        <w:spacing w:line="400" w:lineRule="exact"/>
        <w:ind w:firstLine="480" w:firstLineChars="200"/>
        <w:rPr>
          <w:rFonts w:hint="eastAsia"/>
          <w:lang w:val="en-US" w:eastAsia="zh-CN"/>
        </w:rPr>
      </w:pPr>
      <w:r>
        <w:rPr>
          <w:rFonts w:hint="eastAsia" w:ascii="宋体" w:hAnsi="宋体" w:cs="宋体"/>
          <w:sz w:val="24"/>
          <w:szCs w:val="24"/>
          <w:lang w:val="en-US" w:eastAsia="zh-CN"/>
        </w:rPr>
        <w:t>保证出钢口寿命</w:t>
      </w:r>
      <w:r>
        <w:rPr>
          <w:rFonts w:hint="eastAsia"/>
        </w:rPr>
        <w:t>≥</w:t>
      </w:r>
      <w:r>
        <w:rPr>
          <w:rFonts w:hint="eastAsia"/>
          <w:lang w:val="en-US" w:eastAsia="zh-CN"/>
        </w:rPr>
        <w:t>230次。</w:t>
      </w:r>
    </w:p>
    <w:p>
      <w:pPr>
        <w:spacing w:line="400" w:lineRule="exact"/>
        <w:ind w:firstLine="480" w:firstLineChars="200"/>
        <w:rPr>
          <w:rFonts w:ascii="宋体" w:hAnsi="宋体" w:cs="宋体"/>
          <w:sz w:val="24"/>
          <w:szCs w:val="24"/>
        </w:rPr>
      </w:pPr>
      <w:r>
        <w:rPr>
          <w:rFonts w:hint="eastAsia" w:ascii="宋体" w:hAnsi="宋体" w:cs="宋体"/>
          <w:sz w:val="24"/>
          <w:szCs w:val="24"/>
        </w:rPr>
        <w:t>4、考核办法</w:t>
      </w:r>
    </w:p>
    <w:p>
      <w:pPr>
        <w:spacing w:line="400" w:lineRule="exact"/>
        <w:ind w:firstLine="480" w:firstLineChars="200"/>
        <w:rPr>
          <w:rFonts w:ascii="宋体" w:hAnsi="宋体" w:cs="宋体"/>
          <w:sz w:val="24"/>
          <w:szCs w:val="24"/>
        </w:rPr>
      </w:pPr>
      <w:r>
        <w:rPr>
          <w:rFonts w:hint="eastAsia" w:ascii="宋体" w:hAnsi="宋体" w:cs="宋体"/>
          <w:sz w:val="24"/>
          <w:szCs w:val="24"/>
        </w:rPr>
        <w:t>（1）在生产过程中由于乙方机构备件或耐材质量原因造成影响生产的事故，经双方确认后，由乙方负责赔偿甲方的直接损失（赔偿损失计算：按照事故造成的产量损失、成本损失、设备损坏进行计算），间接损失双方协商解决。</w:t>
      </w:r>
    </w:p>
    <w:p>
      <w:pPr>
        <w:spacing w:line="400" w:lineRule="exact"/>
        <w:ind w:firstLine="480" w:firstLineChars="200"/>
        <w:rPr>
          <w:rFonts w:ascii="宋体" w:hAnsi="宋体" w:cs="宋体"/>
          <w:sz w:val="24"/>
          <w:szCs w:val="24"/>
        </w:rPr>
      </w:pPr>
      <w:r>
        <w:rPr>
          <w:rFonts w:hint="eastAsia" w:ascii="宋体" w:hAnsi="宋体" w:cs="宋体"/>
          <w:sz w:val="24"/>
          <w:szCs w:val="24"/>
        </w:rPr>
        <w:t>（2）乙方承包人员在甲方炼钢部生产过程中，必须执行各种规章制度，按炼钢部的相应考核办法进行考核，考核在当月结算中体现。</w:t>
      </w:r>
    </w:p>
    <w:p>
      <w:pPr>
        <w:spacing w:line="400" w:lineRule="exact"/>
        <w:ind w:firstLine="480" w:firstLineChars="200"/>
        <w:rPr>
          <w:rFonts w:ascii="宋体" w:hAnsi="宋体" w:cs="宋体"/>
          <w:sz w:val="24"/>
          <w:szCs w:val="24"/>
        </w:rPr>
      </w:pPr>
      <w:r>
        <w:rPr>
          <w:rFonts w:hint="eastAsia" w:ascii="宋体" w:hAnsi="宋体" w:cs="宋体"/>
          <w:sz w:val="24"/>
          <w:szCs w:val="24"/>
        </w:rPr>
        <w:t>（3）乙方进行工艺调整试验，必须出纸质版申请报告，经甲方同意后方可进行，因试验造成的甲方损失由乙方承担；如果未经甲方允许，乙方私自进行工艺调整试验，考核</w:t>
      </w:r>
      <w:r>
        <w:rPr>
          <w:rFonts w:hint="eastAsia" w:ascii="宋体" w:hAnsi="宋体" w:cs="宋体"/>
          <w:sz w:val="24"/>
          <w:szCs w:val="24"/>
          <w:lang w:val="en-US" w:eastAsia="zh-CN"/>
        </w:rPr>
        <w:t>2</w:t>
      </w:r>
      <w:r>
        <w:rPr>
          <w:rFonts w:hint="eastAsia" w:ascii="宋体" w:hAnsi="宋体" w:cs="宋体"/>
          <w:sz w:val="24"/>
          <w:szCs w:val="24"/>
        </w:rPr>
        <w:t>0000元/次，并承担甲方损失。</w:t>
      </w:r>
    </w:p>
    <w:p>
      <w:pPr>
        <w:spacing w:line="400" w:lineRule="exact"/>
        <w:ind w:firstLine="480" w:firstLineChars="200"/>
        <w:rPr>
          <w:rFonts w:ascii="宋体" w:hAnsi="宋体" w:cs="宋体"/>
          <w:sz w:val="24"/>
          <w:szCs w:val="24"/>
        </w:rPr>
      </w:pPr>
      <w:r>
        <w:rPr>
          <w:rFonts w:hint="eastAsia" w:ascii="宋体" w:hAnsi="宋体" w:cs="宋体"/>
          <w:sz w:val="24"/>
          <w:szCs w:val="24"/>
        </w:rPr>
        <w:t>（4）乙方必须遵守甲方的《现场管理制度》等各项规章制度，出现不服从甲方安排或在甲方规定的时间内不整改的，按相应制度考核。</w:t>
      </w:r>
    </w:p>
    <w:p>
      <w:pPr>
        <w:spacing w:line="400" w:lineRule="exact"/>
        <w:ind w:firstLine="480" w:firstLineChars="200"/>
        <w:rPr>
          <w:rFonts w:ascii="宋体" w:hAnsi="宋体" w:cs="宋体"/>
          <w:sz w:val="24"/>
          <w:szCs w:val="24"/>
        </w:rPr>
      </w:pPr>
      <w:r>
        <w:rPr>
          <w:rFonts w:hint="eastAsia" w:ascii="宋体" w:hAnsi="宋体" w:cs="宋体"/>
          <w:sz w:val="24"/>
          <w:szCs w:val="24"/>
        </w:rPr>
        <w:t>（5）正常情况下滑板更换时间不大于15min，滑板和内水口更换时间不大于</w:t>
      </w:r>
      <w:r>
        <w:rPr>
          <w:rFonts w:hint="eastAsia" w:ascii="宋体" w:hAnsi="宋体" w:cs="宋体"/>
          <w:sz w:val="24"/>
          <w:szCs w:val="24"/>
          <w:lang w:val="en-US" w:eastAsia="zh-CN"/>
        </w:rPr>
        <w:t>2</w:t>
      </w:r>
      <w:r>
        <w:rPr>
          <w:rFonts w:hint="eastAsia" w:ascii="宋体" w:hAnsi="宋体" w:cs="宋体"/>
          <w:sz w:val="24"/>
          <w:szCs w:val="24"/>
        </w:rPr>
        <w:t>0min。因乙方原因造成的超时，每超1分钟考核50元，以更换架到位，叉车离开开始计时。</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（6）因乙方原因导致滑板砖寿命被迫更换导致寿命小于15次，考核100元/次。因甲方原因提前更换滑板导致寿命小于15次不予考核。</w:t>
      </w:r>
    </w:p>
    <w:p>
      <w:pPr>
        <w:spacing w:line="400" w:lineRule="exact"/>
        <w:ind w:firstLine="480" w:firstLineChars="200"/>
        <w:rPr>
          <w:rFonts w:hint="eastAsia" w:ascii="宋体" w:hAnsi="宋体" w:eastAsia="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7</w:t>
      </w:r>
      <w:r>
        <w:rPr>
          <w:rFonts w:hint="eastAsia" w:ascii="宋体" w:hAnsi="宋体" w:cs="宋体"/>
          <w:sz w:val="24"/>
          <w:szCs w:val="24"/>
          <w:lang w:eastAsia="zh-CN"/>
        </w:rPr>
        <w:t>）出钢口寿命没减少</w:t>
      </w:r>
      <w:r>
        <w:rPr>
          <w:rFonts w:hint="eastAsia" w:ascii="宋体" w:hAnsi="宋体" w:cs="宋体"/>
          <w:sz w:val="24"/>
          <w:szCs w:val="24"/>
          <w:lang w:val="en-US" w:eastAsia="zh-CN"/>
        </w:rPr>
        <w:t>1次，考核10元/次。</w:t>
      </w:r>
    </w:p>
    <w:p>
      <w:pPr>
        <w:spacing w:line="400" w:lineRule="exact"/>
        <w:ind w:firstLine="480" w:firstLineChars="200"/>
        <w:rPr>
          <w:rFonts w:ascii="宋体" w:hAnsi="宋体" w:cs="宋体"/>
          <w:sz w:val="24"/>
          <w:szCs w:val="24"/>
        </w:rPr>
      </w:pPr>
      <w:r>
        <w:rPr>
          <w:rFonts w:hint="eastAsia" w:ascii="宋体" w:hAnsi="宋体" w:cs="宋体"/>
          <w:sz w:val="24"/>
          <w:szCs w:val="24"/>
        </w:rPr>
        <w:t>5、结算办法</w:t>
      </w:r>
    </w:p>
    <w:p>
      <w:pPr>
        <w:spacing w:line="400" w:lineRule="exact"/>
        <w:ind w:firstLine="480" w:firstLineChars="200"/>
        <w:rPr>
          <w:rFonts w:ascii="宋体" w:hAnsi="宋体" w:cs="宋体"/>
          <w:sz w:val="24"/>
          <w:szCs w:val="24"/>
        </w:rPr>
      </w:pPr>
      <w:r>
        <w:rPr>
          <w:rFonts w:hint="eastAsia" w:ascii="宋体" w:hAnsi="宋体" w:cs="宋体"/>
          <w:sz w:val="24"/>
          <w:szCs w:val="24"/>
        </w:rPr>
        <w:t>采用吨钢承包结算的方式，基准价格为</w:t>
      </w:r>
      <w:r>
        <w:rPr>
          <w:rFonts w:hint="eastAsia" w:ascii="宋体" w:hAnsi="宋体" w:cs="宋体"/>
          <w:sz w:val="24"/>
          <w:szCs w:val="24"/>
          <w:u w:val="single"/>
        </w:rPr>
        <w:t xml:space="preserve">      </w:t>
      </w:r>
      <w:r>
        <w:rPr>
          <w:rFonts w:hint="eastAsia" w:ascii="宋体" w:hAnsi="宋体" w:cs="宋体"/>
          <w:sz w:val="24"/>
          <w:szCs w:val="24"/>
        </w:rPr>
        <w:t>元/吨钢，乙方在甲方账户预留60万元质量保证金，甲方按月对乙方结算，结算方式为：</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结算金额=当月炉座合格铸坯产量*基准价格—各项考核</w:t>
      </w:r>
    </w:p>
    <w:p>
      <w:pPr>
        <w:spacing w:line="400" w:lineRule="exact"/>
        <w:ind w:firstLine="480" w:firstLineChars="200"/>
        <w:rPr>
          <w:rFonts w:ascii="宋体" w:hAnsi="宋体" w:cs="宋体"/>
          <w:sz w:val="24"/>
          <w:szCs w:val="24"/>
        </w:rPr>
      </w:pPr>
      <w:r>
        <w:rPr>
          <w:rFonts w:hint="eastAsia" w:ascii="宋体" w:hAnsi="宋体" w:cs="宋体"/>
          <w:sz w:val="24"/>
          <w:szCs w:val="24"/>
        </w:rPr>
        <w:t>结算办法：每月初，甲方统计上月连铸合格坯产量和各种考核，计算出实际金额，经与乙方共同确认无误后报炉料部，炉料部通知乙方开具增值税专用发票给甲方结算；付款等事宜依照商务合同约定。</w:t>
      </w:r>
    </w:p>
    <w:p>
      <w:pPr>
        <w:spacing w:line="400" w:lineRule="exact"/>
        <w:ind w:firstLine="480"/>
        <w:rPr>
          <w:rFonts w:hint="eastAsia" w:ascii="宋体" w:hAnsi="宋体" w:cs="宋体"/>
          <w:sz w:val="24"/>
          <w:szCs w:val="24"/>
          <w:highlight w:val="none"/>
        </w:rPr>
      </w:pPr>
      <w:r>
        <w:rPr>
          <w:rFonts w:hint="eastAsia" w:ascii="宋体" w:hAnsi="宋体" w:cs="宋体"/>
          <w:sz w:val="24"/>
          <w:szCs w:val="24"/>
          <w:highlight w:val="none"/>
        </w:rPr>
        <w:t>当月炉座合格铸坯产量包含：</w:t>
      </w:r>
    </w:p>
    <w:p>
      <w:pPr>
        <w:spacing w:line="400" w:lineRule="exact"/>
        <w:ind w:left="840"/>
        <w:rPr>
          <w:rFonts w:hint="eastAsia" w:ascii="宋体" w:hAnsi="宋体" w:cs="宋体"/>
          <w:sz w:val="24"/>
          <w:szCs w:val="24"/>
          <w:highlight w:val="none"/>
        </w:rPr>
      </w:pPr>
      <w:r>
        <w:rPr>
          <w:rFonts w:hint="eastAsia" w:ascii="宋体" w:hAnsi="宋体" w:cs="宋体"/>
          <w:sz w:val="24"/>
          <w:szCs w:val="24"/>
          <w:highlight w:val="none"/>
        </w:rPr>
        <w:t>①甲方使用单滑滑板挡渣</w:t>
      </w:r>
      <w:r>
        <w:rPr>
          <w:rFonts w:hint="eastAsia" w:ascii="宋体" w:hAnsi="宋体" w:cs="宋体"/>
          <w:sz w:val="24"/>
          <w:szCs w:val="24"/>
          <w:highlight w:val="none"/>
          <w:lang w:eastAsia="zh-CN"/>
        </w:rPr>
        <w:t>合格铸坯</w:t>
      </w:r>
      <w:r>
        <w:rPr>
          <w:rFonts w:hint="eastAsia" w:ascii="宋体" w:hAnsi="宋体" w:cs="宋体"/>
          <w:sz w:val="24"/>
          <w:szCs w:val="24"/>
          <w:highlight w:val="none"/>
        </w:rPr>
        <w:t>产量；</w:t>
      </w:r>
    </w:p>
    <w:p>
      <w:pPr>
        <w:spacing w:line="400" w:lineRule="exact"/>
        <w:ind w:left="840"/>
        <w:rPr>
          <w:rFonts w:ascii="宋体" w:hAnsi="宋体" w:cs="宋体"/>
          <w:sz w:val="24"/>
          <w:szCs w:val="24"/>
          <w:highlight w:val="none"/>
        </w:rPr>
      </w:pPr>
      <w:r>
        <w:rPr>
          <w:rFonts w:hint="eastAsia" w:ascii="宋体" w:hAnsi="宋体" w:cs="宋体"/>
          <w:sz w:val="24"/>
          <w:szCs w:val="24"/>
          <w:highlight w:val="none"/>
        </w:rPr>
        <w:t>②甲方使用双挡渣（前后挡）时，按2倍单滑滑板挡渣</w:t>
      </w:r>
      <w:r>
        <w:rPr>
          <w:rFonts w:hint="eastAsia" w:ascii="宋体" w:hAnsi="宋体" w:cs="宋体"/>
          <w:sz w:val="24"/>
          <w:szCs w:val="24"/>
          <w:highlight w:val="none"/>
          <w:lang w:eastAsia="zh-CN"/>
        </w:rPr>
        <w:t>合格铸坯</w:t>
      </w:r>
      <w:r>
        <w:rPr>
          <w:rFonts w:hint="eastAsia" w:ascii="宋体" w:hAnsi="宋体" w:cs="宋体"/>
          <w:sz w:val="24"/>
          <w:szCs w:val="24"/>
          <w:highlight w:val="none"/>
        </w:rPr>
        <w:t>产量结算；</w:t>
      </w:r>
    </w:p>
    <w:p>
      <w:pPr>
        <w:spacing w:line="400" w:lineRule="exact"/>
        <w:ind w:left="840"/>
        <w:rPr>
          <w:rFonts w:hint="eastAsia" w:ascii="宋体" w:hAnsi="宋体" w:cs="宋体"/>
          <w:sz w:val="24"/>
          <w:szCs w:val="24"/>
          <w:highlight w:val="none"/>
        </w:rPr>
      </w:pPr>
      <w:r>
        <w:rPr>
          <w:rFonts w:hint="eastAsia" w:ascii="宋体" w:hAnsi="宋体" w:cs="宋体"/>
          <w:sz w:val="24"/>
          <w:szCs w:val="24"/>
          <w:highlight w:val="none"/>
        </w:rPr>
        <w:t>③甲方不使用滑板挡渣时，按0.3倍单滑滑板挡渣</w:t>
      </w:r>
      <w:r>
        <w:rPr>
          <w:rFonts w:hint="eastAsia" w:ascii="宋体" w:hAnsi="宋体" w:cs="宋体"/>
          <w:sz w:val="24"/>
          <w:szCs w:val="24"/>
          <w:highlight w:val="none"/>
          <w:lang w:eastAsia="zh-CN"/>
        </w:rPr>
        <w:t>合格铸坯</w:t>
      </w:r>
      <w:r>
        <w:rPr>
          <w:rFonts w:hint="eastAsia" w:ascii="宋体" w:hAnsi="宋体" w:cs="宋体"/>
          <w:sz w:val="24"/>
          <w:szCs w:val="24"/>
          <w:highlight w:val="none"/>
        </w:rPr>
        <w:t>产量结算。</w:t>
      </w:r>
    </w:p>
    <w:p>
      <w:pPr>
        <w:spacing w:line="400" w:lineRule="exact"/>
        <w:ind w:firstLine="480" w:firstLineChars="200"/>
        <w:rPr>
          <w:rFonts w:ascii="宋体" w:hAnsi="宋体" w:cs="宋体"/>
          <w:sz w:val="24"/>
          <w:szCs w:val="24"/>
        </w:rPr>
      </w:pPr>
      <w:r>
        <w:rPr>
          <w:rFonts w:hint="eastAsia" w:ascii="宋体" w:hAnsi="宋体" w:cs="宋体"/>
          <w:sz w:val="24"/>
          <w:szCs w:val="24"/>
        </w:rPr>
        <w:t>6、其他事项</w:t>
      </w:r>
    </w:p>
    <w:p>
      <w:pPr>
        <w:spacing w:line="400" w:lineRule="exact"/>
        <w:ind w:firstLine="480" w:firstLineChars="200"/>
        <w:rPr>
          <w:rFonts w:ascii="宋体" w:hAnsi="宋体" w:cs="宋体"/>
          <w:sz w:val="24"/>
          <w:szCs w:val="24"/>
        </w:rPr>
      </w:pPr>
      <w:r>
        <w:rPr>
          <w:rFonts w:hint="eastAsia" w:ascii="宋体" w:hAnsi="宋体" w:cs="宋体"/>
          <w:sz w:val="24"/>
          <w:szCs w:val="24"/>
        </w:rPr>
        <w:t>（1）乙方在承包过程中因技术等问题不能适应甲方生产，甲方有权终止承包合同。</w:t>
      </w:r>
    </w:p>
    <w:p>
      <w:pPr>
        <w:spacing w:line="400" w:lineRule="exact"/>
        <w:ind w:firstLine="480" w:firstLineChars="200"/>
        <w:rPr>
          <w:rFonts w:ascii="宋体" w:hAnsi="宋体" w:cs="宋体"/>
          <w:sz w:val="24"/>
          <w:szCs w:val="24"/>
        </w:rPr>
      </w:pPr>
      <w:r>
        <w:rPr>
          <w:rFonts w:hint="eastAsia" w:ascii="宋体" w:hAnsi="宋体" w:cs="宋体"/>
          <w:sz w:val="24"/>
          <w:szCs w:val="24"/>
        </w:rPr>
        <w:t>（2）本协议未涉及问题，双方可友好协商处理，但最终解释权在甲方。</w:t>
      </w:r>
    </w:p>
    <w:p>
      <w:pPr>
        <w:spacing w:line="400" w:lineRule="exact"/>
        <w:ind w:firstLine="480" w:firstLineChars="200"/>
        <w:rPr>
          <w:rFonts w:ascii="宋体" w:hAnsi="宋体" w:cs="宋体"/>
          <w:sz w:val="24"/>
          <w:szCs w:val="24"/>
        </w:rPr>
      </w:pPr>
      <w:r>
        <w:rPr>
          <w:rFonts w:hint="eastAsia" w:ascii="宋体" w:hAnsi="宋体" w:cs="宋体"/>
          <w:sz w:val="24"/>
          <w:szCs w:val="24"/>
        </w:rPr>
        <w:t>（3）甲乙任何一方如终止合同，必须提前30天通知对方，经对方同意后方可终止协议，并办理交接清算手续，未经对方同意即单方面终止本协议，必须赔偿对方由此产生的一切损失。</w:t>
      </w:r>
    </w:p>
    <w:p>
      <w:pPr>
        <w:spacing w:line="400" w:lineRule="exact"/>
        <w:ind w:firstLine="480" w:firstLineChars="200"/>
        <w:rPr>
          <w:rFonts w:ascii="宋体" w:hAnsi="宋体" w:cs="宋体"/>
          <w:sz w:val="24"/>
          <w:szCs w:val="24"/>
        </w:rPr>
      </w:pPr>
      <w:r>
        <w:rPr>
          <w:rFonts w:hint="eastAsia" w:ascii="宋体" w:hAnsi="宋体" w:cs="宋体"/>
          <w:sz w:val="24"/>
          <w:szCs w:val="24"/>
        </w:rPr>
        <w:t>（4）甲方与乙方签订《安全环保协议》与《综合治理协议》，这两项协议作为附属协议，具有合同的法律效力，甲乙双方必须严格遵守，签订两项协议后乙方方可甲方现场作业。</w:t>
      </w:r>
    </w:p>
    <w:p>
      <w:pPr>
        <w:spacing w:line="400" w:lineRule="exact"/>
        <w:ind w:firstLine="480" w:firstLineChars="200"/>
        <w:rPr>
          <w:rFonts w:ascii="宋体" w:hAnsi="宋体" w:cs="宋体"/>
          <w:sz w:val="24"/>
          <w:szCs w:val="24"/>
        </w:rPr>
      </w:pPr>
      <w:r>
        <w:rPr>
          <w:rFonts w:hint="eastAsia" w:ascii="宋体" w:hAnsi="宋体" w:cs="宋体"/>
          <w:sz w:val="24"/>
          <w:szCs w:val="24"/>
        </w:rPr>
        <w:t>（5）本协议是合同的重要组成部分，甲乙双方必须严格遵守，在执行过程中发生的争议，由双方协商解决，协商不成的由企业所在地人民法院裁决。</w:t>
      </w:r>
    </w:p>
    <w:p>
      <w:pPr>
        <w:spacing w:line="400" w:lineRule="exact"/>
        <w:ind w:firstLine="480" w:firstLineChars="200"/>
        <w:rPr>
          <w:rFonts w:ascii="宋体" w:hAnsi="宋体" w:cs="宋体"/>
          <w:sz w:val="24"/>
          <w:szCs w:val="24"/>
        </w:rPr>
      </w:pPr>
      <w:r>
        <w:rPr>
          <w:rFonts w:hint="eastAsia" w:ascii="宋体" w:hAnsi="宋体" w:cs="宋体"/>
          <w:sz w:val="24"/>
          <w:szCs w:val="24"/>
        </w:rPr>
        <w:t>（6）本协议一式三份，甲方两份，乙方一份，经双方签字或盖章后生效。</w:t>
      </w:r>
    </w:p>
    <w:p>
      <w:pPr>
        <w:spacing w:line="360" w:lineRule="exact"/>
        <w:ind w:firstLine="623" w:firstLineChars="297"/>
        <w:rPr>
          <w:rFonts w:ascii="宋体" w:hAnsi="宋体" w:cs="宋体"/>
          <w:szCs w:val="21"/>
        </w:rPr>
      </w:pPr>
    </w:p>
    <w:p>
      <w:pPr>
        <w:jc w:val="both"/>
        <w:rPr>
          <w:rFonts w:hint="eastAsia"/>
          <w:b w:val="0"/>
          <w:bCs/>
          <w:color w:val="auto"/>
          <w:sz w:val="28"/>
          <w:szCs w:val="28"/>
          <w:u w:val="none" w:color="auto"/>
          <w:lang w:val="en-US" w:eastAsia="zh-CN"/>
        </w:rPr>
      </w:pPr>
      <w:bookmarkStart w:id="0" w:name="_GoBack"/>
      <w:bookmarkEnd w:id="0"/>
    </w:p>
    <w:p>
      <w:pPr>
        <w:spacing w:line="360" w:lineRule="exact"/>
        <w:ind w:firstLine="623" w:firstLineChars="297"/>
        <w:rPr>
          <w:rFonts w:ascii="宋体" w:hAnsi="宋体" w:cs="宋体"/>
          <w:szCs w:val="21"/>
        </w:rPr>
      </w:pPr>
    </w:p>
    <w:p>
      <w:pPr>
        <w:spacing w:line="360" w:lineRule="exact"/>
        <w:ind w:firstLine="1153" w:firstLineChars="547"/>
        <w:rPr>
          <w:rFonts w:hint="eastAsia" w:ascii="宋体" w:hAnsi="宋体" w:cs="宋体"/>
          <w:b/>
          <w:szCs w:val="21"/>
        </w:rPr>
      </w:pPr>
      <w:r>
        <w:rPr>
          <w:rFonts w:hint="eastAsia" w:ascii="宋体" w:hAnsi="宋体" w:cs="宋体"/>
          <w:b/>
          <w:szCs w:val="21"/>
        </w:rPr>
        <w:t xml:space="preserve">     </w:t>
      </w:r>
    </w:p>
    <w:p>
      <w:pPr>
        <w:spacing w:line="360" w:lineRule="exact"/>
        <w:rPr>
          <w:rFonts w:ascii="宋体" w:hAnsi="宋体" w:cs="宋体"/>
          <w:b/>
          <w:sz w:val="24"/>
          <w:szCs w:val="24"/>
        </w:rPr>
      </w:pPr>
      <w:r>
        <w:rPr>
          <w:rFonts w:hint="eastAsia" w:ascii="宋体" w:hAnsi="宋体" w:cs="宋体"/>
          <w:b/>
          <w:szCs w:val="21"/>
        </w:rPr>
        <w:t xml:space="preserve">  </w:t>
      </w:r>
    </w:p>
    <w:sectPr>
      <w:pgSz w:w="11906" w:h="16838"/>
      <w:pgMar w:top="1134" w:right="907" w:bottom="1134" w:left="90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479B4D7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link w:val="6"/>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semiHidden/>
    <w:qFormat/>
    <w:uiPriority w:val="0"/>
    <w:rPr>
      <w:sz w:val="18"/>
      <w:szCs w:val="18"/>
    </w:rPr>
  </w:style>
  <w:style w:type="character" w:customStyle="1" w:styleId="7">
    <w:name w:val="页眉 Char"/>
    <w:link w:val="3"/>
    <w:semiHidden/>
    <w:uiPriority w:val="0"/>
    <w:rPr>
      <w:sz w:val="18"/>
      <w:szCs w:val="18"/>
    </w:rPr>
  </w:style>
  <w:style w:type="paragraph" w:customStyle="1" w:styleId="8">
    <w:name w:val="批注框文本 Char Char"/>
    <w:basedOn w:val="1"/>
    <w:link w:val="9"/>
    <w:uiPriority w:val="0"/>
    <w:rPr>
      <w:sz w:val="18"/>
      <w:szCs w:val="18"/>
    </w:rPr>
  </w:style>
  <w:style w:type="character" w:customStyle="1" w:styleId="9">
    <w:name w:val="批注框文本 字符"/>
    <w:link w:val="8"/>
    <w:semiHidden/>
    <w:uiPriority w:val="0"/>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488</Words>
  <Characters>2788</Characters>
  <Lines>23</Lines>
  <Paragraphs>6</Paragraphs>
  <TotalTime>3</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2020-02-29T02:06:00Z</dcterms:created>
  <dc:creator>em</dc:creator>
  <cp:lastModifiedBy>Administrator</cp:lastModifiedBy>
  <cp:lastPrinted>2020-09-03T13:53:00Z</cp:lastPrinted>
  <dcterms:modified xsi:type="dcterms:W3CDTF">2020-09-07T02:36:11Z</dcterms:modified>
  <dc:title>56833101@qq.com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