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rPr>
        <w:t>吊索具</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2020</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color w:val="000000"/>
          <w:sz w:val="24"/>
          <w:szCs w:val="24"/>
          <w:u w:val="single"/>
        </w:rPr>
        <w:t>10</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color w:val="000000"/>
          <w:sz w:val="24"/>
          <w:szCs w:val="24"/>
          <w:u w:val="single"/>
        </w:rPr>
        <w:t>14</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WHXX202010014DSJ</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 xml:space="preserve"> </w:t>
      </w:r>
      <w:r>
        <w:rPr>
          <w:rFonts w:ascii="宋体" w:hAnsi="宋体"/>
          <w:b/>
          <w:color w:val="FF0000"/>
          <w:sz w:val="28"/>
          <w:szCs w:val="28"/>
        </w:rPr>
        <w:t>吊索具</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招标办：曹勤     </w:t>
      </w:r>
      <w:r>
        <w:rPr>
          <w:rFonts w:ascii="宋体" w:hAnsi="宋体"/>
          <w:sz w:val="24"/>
          <w:szCs w:val="24"/>
        </w:rPr>
        <w:t>18955381505</w:t>
      </w:r>
      <w:r>
        <w:rPr>
          <w:rFonts w:hint="eastAsia" w:ascii="宋体" w:hAnsi="宋体"/>
          <w:sz w:val="24"/>
          <w:szCs w:val="24"/>
        </w:rPr>
        <w:t xml:space="preserve">  </w:t>
      </w:r>
    </w:p>
    <w:p>
      <w:pPr>
        <w:ind w:firstLine="960" w:firstLineChars="400"/>
        <w:rPr>
          <w:rFonts w:ascii="宋体" w:hAnsi="宋体"/>
          <w:sz w:val="24"/>
          <w:szCs w:val="24"/>
        </w:rPr>
      </w:pPr>
      <w:r>
        <w:rPr>
          <w:rFonts w:hint="eastAsia" w:ascii="宋体" w:hAnsi="宋体"/>
          <w:sz w:val="24"/>
          <w:szCs w:val="24"/>
        </w:rPr>
        <w:t xml:space="preserve">物资部：段彬     </w:t>
      </w:r>
      <w:r>
        <w:rPr>
          <w:rFonts w:ascii="宋体" w:hAnsi="宋体"/>
          <w:sz w:val="24"/>
          <w:szCs w:val="24"/>
        </w:rPr>
        <w:t>13365731899</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020</w:t>
      </w:r>
      <w:r>
        <w:rPr>
          <w:rFonts w:ascii="宋体" w:hAnsi="宋体"/>
          <w:bCs/>
          <w:sz w:val="24"/>
          <w:szCs w:val="24"/>
        </w:rPr>
        <w:t>年</w:t>
      </w:r>
      <w:r>
        <w:rPr>
          <w:rFonts w:hint="eastAsia" w:ascii="宋体" w:hAnsi="宋体"/>
          <w:bCs/>
          <w:sz w:val="24"/>
          <w:szCs w:val="24"/>
        </w:rPr>
        <w:t>1</w:t>
      </w:r>
      <w:r>
        <w:rPr>
          <w:rFonts w:ascii="宋体" w:hAnsi="宋体"/>
          <w:bCs/>
          <w:sz w:val="24"/>
          <w:szCs w:val="24"/>
        </w:rPr>
        <w:t>0月</w:t>
      </w:r>
      <w:r>
        <w:rPr>
          <w:rFonts w:hint="eastAsia" w:ascii="宋体" w:hAnsi="宋体"/>
          <w:sz w:val="24"/>
          <w:szCs w:val="24"/>
        </w:rPr>
        <w:t xml:space="preserve"> </w:t>
      </w:r>
      <w:r>
        <w:rPr>
          <w:rFonts w:ascii="宋体" w:hAnsi="宋体"/>
          <w:sz w:val="24"/>
          <w:szCs w:val="24"/>
        </w:rPr>
        <w:t>31</w:t>
      </w:r>
      <w:r>
        <w:rPr>
          <w:rFonts w:ascii="宋体" w:hAnsi="宋体"/>
          <w:bCs/>
          <w:sz w:val="24"/>
          <w:szCs w:val="24"/>
        </w:rPr>
        <w:t>日</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020年</w:t>
      </w:r>
      <w:r>
        <w:rPr>
          <w:rFonts w:hint="eastAsia" w:ascii="宋体" w:hAnsi="宋体"/>
          <w:sz w:val="24"/>
          <w:szCs w:val="24"/>
        </w:rPr>
        <w:t xml:space="preserve"> </w:t>
      </w:r>
      <w:r>
        <w:rPr>
          <w:rFonts w:ascii="宋体" w:hAnsi="宋体"/>
          <w:sz w:val="24"/>
          <w:szCs w:val="24"/>
        </w:rPr>
        <w:t>11</w:t>
      </w:r>
      <w:r>
        <w:rPr>
          <w:rFonts w:ascii="宋体" w:hAnsi="宋体"/>
          <w:bCs/>
          <w:sz w:val="24"/>
          <w:szCs w:val="24"/>
        </w:rPr>
        <w:t>月</w:t>
      </w:r>
      <w:r>
        <w:rPr>
          <w:rFonts w:ascii="宋体" w:hAnsi="宋体"/>
          <w:sz w:val="24"/>
          <w:szCs w:val="24"/>
        </w:rPr>
        <w:t>6</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附件5：物资明细报价表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投标保证金叁万元整（电汇，基本账户汇款）备注：基本账户为开户行账户</w:t>
      </w:r>
      <w:r>
        <w:rPr>
          <w:rFonts w:hint="eastAsia" w:ascii="宋体" w:hAnsi="宋体"/>
          <w:bCs/>
          <w:sz w:val="24"/>
          <w:szCs w:val="24"/>
        </w:rPr>
        <w:t>，投标人需在2</w:t>
      </w:r>
      <w:r>
        <w:rPr>
          <w:rFonts w:ascii="宋体" w:hAnsi="宋体"/>
          <w:bCs/>
          <w:sz w:val="24"/>
          <w:szCs w:val="24"/>
        </w:rPr>
        <w:t>020</w:t>
      </w:r>
      <w:r>
        <w:rPr>
          <w:rFonts w:hint="eastAsia" w:ascii="宋体" w:hAnsi="宋体"/>
          <w:bCs/>
          <w:sz w:val="24"/>
          <w:szCs w:val="24"/>
        </w:rPr>
        <w:t>年1</w:t>
      </w:r>
      <w:r>
        <w:rPr>
          <w:rFonts w:ascii="宋体" w:hAnsi="宋体"/>
          <w:bCs/>
          <w:sz w:val="24"/>
          <w:szCs w:val="24"/>
        </w:rPr>
        <w:t>0</w:t>
      </w:r>
      <w:r>
        <w:rPr>
          <w:rFonts w:hint="eastAsia" w:ascii="宋体" w:hAnsi="宋体"/>
          <w:bCs/>
          <w:sz w:val="24"/>
          <w:szCs w:val="24"/>
        </w:rPr>
        <w:t>月</w:t>
      </w:r>
      <w:r>
        <w:rPr>
          <w:rFonts w:ascii="宋体" w:hAnsi="宋体"/>
          <w:bCs/>
          <w:sz w:val="24"/>
          <w:szCs w:val="24"/>
        </w:rPr>
        <w:t>31</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spacing w:line="300" w:lineRule="auto"/>
        <w:ind w:left="42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ascii="宋体" w:hAnsi="宋体"/>
          <w:color w:val="000000"/>
          <w:sz w:val="24"/>
          <w:szCs w:val="24"/>
        </w:rPr>
        <w:t>货到发票入账三个月付款</w:t>
      </w:r>
      <w:r>
        <w:rPr>
          <w:rFonts w:hint="eastAsia" w:ascii="宋体" w:hAnsi="宋体"/>
          <w:color w:val="000000"/>
          <w:sz w:val="24"/>
          <w:szCs w:val="24"/>
        </w:rPr>
        <w:t>（承兑</w:t>
      </w:r>
      <w:r>
        <w:rPr>
          <w:rFonts w:hint="eastAsia" w:ascii="宋体" w:hAnsi="宋体"/>
          <w:color w:val="000000"/>
          <w:sz w:val="24"/>
          <w:szCs w:val="24"/>
          <w:lang w:eastAsia="zh-CN"/>
        </w:rPr>
        <w:t>）</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bookmarkStart w:id="1" w:name="_GoBack"/>
      <w:bookmarkEnd w:id="1"/>
      <w:r>
        <w:rPr>
          <w:rFonts w:hint="eastAsia" w:ascii="宋体" w:hAnsi="宋体"/>
          <w:sz w:val="24"/>
          <w:szCs w:val="24"/>
        </w:rPr>
        <w:t>。</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分,质量：4</w:t>
      </w:r>
      <w:r>
        <w:rPr>
          <w:rFonts w:ascii="宋体" w:hAnsi="宋体"/>
          <w:sz w:val="24"/>
          <w:szCs w:val="24"/>
        </w:rPr>
        <w:t>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rPr>
          <w:b/>
        </w:rPr>
      </w:pPr>
    </w:p>
    <w:p>
      <w:pPr>
        <w:numPr>
          <w:ilvl w:val="0"/>
          <w:numId w:val="7"/>
        </w:numPr>
        <w:rPr>
          <w:b/>
          <w:sz w:val="24"/>
          <w:szCs w:val="24"/>
        </w:rPr>
      </w:pPr>
      <w:r>
        <w:rPr>
          <w:rFonts w:hint="eastAsia"/>
          <w:b/>
          <w:sz w:val="24"/>
          <w:szCs w:val="24"/>
        </w:rPr>
        <w:t>其他要求</w:t>
      </w:r>
    </w:p>
    <w:p>
      <w:pPr>
        <w:rPr>
          <w:b/>
          <w:sz w:val="24"/>
          <w:szCs w:val="24"/>
        </w:rPr>
      </w:pPr>
    </w:p>
    <w:p>
      <w:pPr>
        <w:widowControl/>
        <w:numPr>
          <w:ilvl w:val="0"/>
          <w:numId w:val="8"/>
        </w:numPr>
        <w:jc w:val="left"/>
        <w:rPr>
          <w:rFonts w:ascii="宋体" w:hAnsi="宋体"/>
          <w:color w:val="000000"/>
          <w:sz w:val="24"/>
          <w:szCs w:val="24"/>
        </w:rPr>
      </w:pPr>
      <w:r>
        <w:rPr>
          <w:rFonts w:hint="eastAsia" w:ascii="宋体" w:hAnsi="宋体"/>
          <w:color w:val="000000"/>
          <w:sz w:val="24"/>
          <w:szCs w:val="24"/>
        </w:rPr>
        <w:t>全厂用各种规格吊具（方坯、圆坯夹钳；平衡梁），材质为</w:t>
      </w:r>
      <w:r>
        <w:rPr>
          <w:rFonts w:hint="eastAsia" w:ascii="宋体" w:hAnsi="宋体" w:cs="宋体"/>
          <w:color w:val="000000"/>
          <w:sz w:val="24"/>
          <w:szCs w:val="24"/>
        </w:rPr>
        <w:t>Q345B，</w:t>
      </w:r>
      <w:r>
        <w:rPr>
          <w:rFonts w:hint="eastAsia" w:ascii="宋体" w:hAnsi="宋体"/>
          <w:color w:val="000000"/>
          <w:sz w:val="24"/>
          <w:szCs w:val="24"/>
        </w:rPr>
        <w:t>结算方式：以需方收货过磅重量结算。</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平衡梁配用钳牙、启闭器。</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各规格锚链，高强度起重链条（耐高温850℃）。</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各规格蝴蝶扣、长吊环、羊角钩、眼型滑钩，详见明细表。</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各规格模锻起重钳，详见明细表。</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各规格永磁吊具，详见明细表。</w:t>
      </w:r>
    </w:p>
    <w:p>
      <w:pPr>
        <w:widowControl/>
        <w:numPr>
          <w:ilvl w:val="0"/>
          <w:numId w:val="8"/>
        </w:numPr>
        <w:jc w:val="left"/>
        <w:rPr>
          <w:rFonts w:ascii="宋体" w:hAnsi="宋体"/>
          <w:color w:val="000000"/>
          <w:sz w:val="24"/>
          <w:szCs w:val="24"/>
        </w:rPr>
      </w:pPr>
      <w:r>
        <w:rPr>
          <w:rFonts w:hint="eastAsia" w:ascii="宋体" w:hAnsi="宋体"/>
          <w:color w:val="000000"/>
          <w:sz w:val="24"/>
          <w:szCs w:val="24"/>
        </w:rPr>
        <w:t>尼龙挂胶钩头（包括胶皮磨损后的二次挂胶）。</w:t>
      </w:r>
    </w:p>
    <w:p>
      <w:pPr>
        <w:widowControl/>
        <w:numPr>
          <w:ilvl w:val="0"/>
          <w:numId w:val="8"/>
        </w:numPr>
        <w:jc w:val="left"/>
        <w:rPr>
          <w:rFonts w:ascii="宋体" w:hAnsi="宋体"/>
          <w:color w:val="000000"/>
          <w:sz w:val="24"/>
          <w:szCs w:val="24"/>
        </w:rPr>
      </w:pPr>
      <w:r>
        <w:rPr>
          <w:rFonts w:hint="eastAsia" w:ascii="宋体" w:hAnsi="宋体"/>
          <w:color w:val="000000"/>
          <w:sz w:val="24"/>
          <w:szCs w:val="24"/>
        </w:rPr>
        <w:t>高强度卸扣（参标时需要带样品）</w:t>
      </w:r>
    </w:p>
    <w:p>
      <w:pPr>
        <w:widowControl/>
        <w:jc w:val="left"/>
        <w:rPr>
          <w:rFonts w:ascii="宋体" w:hAnsi="宋体"/>
          <w:color w:val="000000"/>
          <w:sz w:val="24"/>
          <w:szCs w:val="24"/>
        </w:rPr>
      </w:pPr>
      <w:r>
        <w:rPr>
          <w:rFonts w:hint="eastAsia" w:ascii="宋体" w:hAnsi="宋体"/>
          <w:color w:val="000000"/>
          <w:sz w:val="24"/>
          <w:szCs w:val="24"/>
        </w:rPr>
        <w:t>9</w:t>
      </w:r>
      <w:r>
        <w:rPr>
          <w:rFonts w:ascii="宋体" w:hAnsi="宋体"/>
          <w:color w:val="000000"/>
          <w:sz w:val="24"/>
          <w:szCs w:val="24"/>
        </w:rPr>
        <w:t>.</w:t>
      </w:r>
      <w:r>
        <w:rPr>
          <w:rFonts w:hint="eastAsia" w:ascii="宋体" w:hAnsi="宋体"/>
          <w:color w:val="000000"/>
          <w:sz w:val="24"/>
          <w:szCs w:val="24"/>
        </w:rPr>
        <w:t>本次招标供货期为12个月</w:t>
      </w:r>
    </w:p>
    <w:p>
      <w:pPr>
        <w:widowControl/>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0.</w:t>
      </w:r>
      <w:r>
        <w:rPr>
          <w:rFonts w:hint="eastAsia" w:ascii="宋体" w:hAnsi="宋体"/>
          <w:color w:val="000000"/>
          <w:sz w:val="24"/>
          <w:szCs w:val="24"/>
        </w:rPr>
        <w:t>具体明细详见清单，以上产品的规格、强度等级需要达到国标标准。</w:t>
      </w:r>
    </w:p>
    <w:p>
      <w:pPr>
        <w:widowControl/>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1.</w:t>
      </w:r>
      <w:r>
        <w:rPr>
          <w:rFonts w:hint="eastAsia" w:ascii="宋体" w:hAnsi="宋体"/>
          <w:color w:val="000000"/>
          <w:sz w:val="24"/>
          <w:szCs w:val="24"/>
        </w:rPr>
        <w:t>以上所有产品，需要在技术标书中明确注明材质。</w:t>
      </w:r>
    </w:p>
    <w:p>
      <w:pPr>
        <w:widowControl/>
        <w:jc w:val="left"/>
        <w:rPr>
          <w:rFonts w:ascii="宋体" w:hAnsi="宋体"/>
          <w:color w:val="000000"/>
          <w:sz w:val="24"/>
          <w:szCs w:val="24"/>
        </w:rPr>
      </w:pPr>
      <w:r>
        <w:rPr>
          <w:rFonts w:ascii="宋体" w:hAnsi="宋体"/>
          <w:color w:val="000000"/>
          <w:sz w:val="24"/>
          <w:szCs w:val="24"/>
        </w:rPr>
        <w:t>12.建议付款方式</w:t>
      </w:r>
      <w:r>
        <w:rPr>
          <w:rFonts w:hint="eastAsia" w:ascii="宋体" w:hAnsi="宋体"/>
          <w:color w:val="000000"/>
          <w:sz w:val="24"/>
          <w:szCs w:val="24"/>
        </w:rPr>
        <w:t>：</w:t>
      </w:r>
      <w:r>
        <w:rPr>
          <w:rFonts w:ascii="宋体" w:hAnsi="宋体"/>
          <w:color w:val="000000"/>
          <w:sz w:val="24"/>
          <w:szCs w:val="24"/>
        </w:rPr>
        <w:t>货到发票入账三个月付款</w:t>
      </w:r>
      <w:r>
        <w:rPr>
          <w:rFonts w:hint="eastAsia" w:ascii="宋体" w:hAnsi="宋体"/>
          <w:color w:val="000000"/>
          <w:sz w:val="24"/>
          <w:szCs w:val="24"/>
        </w:rPr>
        <w:t>（承兑）</w:t>
      </w:r>
    </w:p>
    <w:p>
      <w:pPr>
        <w:widowControl/>
        <w:jc w:val="left"/>
        <w:rPr>
          <w:rFonts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3.</w:t>
      </w:r>
      <w:r>
        <w:rPr>
          <w:rFonts w:hint="eastAsia" w:ascii="宋体" w:hAnsi="宋体"/>
          <w:color w:val="000000"/>
          <w:sz w:val="24"/>
          <w:szCs w:val="24"/>
        </w:rPr>
        <w:t>中标厂家根据需方要求提供产品试用。</w:t>
      </w:r>
    </w:p>
    <w:p>
      <w:pPr>
        <w:spacing w:line="360" w:lineRule="auto"/>
        <w:rPr>
          <w:b/>
          <w:sz w:val="24"/>
          <w:szCs w:val="24"/>
        </w:rPr>
      </w:pPr>
      <w:r>
        <w:rPr>
          <w:rFonts w:ascii="宋体" w:hAnsi="宋体"/>
          <w:b/>
          <w:color w:val="FF0000"/>
          <w:sz w:val="24"/>
          <w:szCs w:val="24"/>
        </w:rPr>
        <w:t>14.</w:t>
      </w:r>
      <w:r>
        <w:rPr>
          <w:rFonts w:hint="eastAsia" w:ascii="宋体" w:hAnsi="宋体"/>
          <w:b/>
          <w:color w:val="FF0000"/>
          <w:sz w:val="24"/>
          <w:szCs w:val="24"/>
        </w:rPr>
        <w:t>本次招标项目最高投标限价为：第一标段1</w:t>
      </w:r>
      <w:r>
        <w:rPr>
          <w:rFonts w:ascii="宋体" w:hAnsi="宋体"/>
          <w:b/>
          <w:color w:val="FF0000"/>
          <w:sz w:val="24"/>
          <w:szCs w:val="24"/>
        </w:rPr>
        <w:t>3000</w:t>
      </w:r>
      <w:r>
        <w:rPr>
          <w:rFonts w:hint="eastAsia" w:ascii="宋体" w:hAnsi="宋体"/>
          <w:b/>
          <w:color w:val="FF0000"/>
          <w:sz w:val="24"/>
          <w:szCs w:val="24"/>
        </w:rPr>
        <w:t xml:space="preserve">元（大写：壹万叁仟元整）；第二标段    </w:t>
      </w:r>
      <w:r>
        <w:rPr>
          <w:rFonts w:ascii="宋体" w:hAnsi="宋体"/>
          <w:b/>
          <w:color w:val="FF0000"/>
          <w:sz w:val="24"/>
          <w:szCs w:val="24"/>
        </w:rPr>
        <w:t>46500</w:t>
      </w:r>
      <w:r>
        <w:rPr>
          <w:rFonts w:hint="eastAsia" w:ascii="宋体" w:hAnsi="宋体"/>
          <w:b/>
          <w:color w:val="FF0000"/>
          <w:sz w:val="24"/>
          <w:szCs w:val="24"/>
        </w:rPr>
        <w:t>元（大写：肆万陆仟伍佰元整）；第三标段3</w:t>
      </w:r>
      <w:r>
        <w:rPr>
          <w:rFonts w:ascii="宋体" w:hAnsi="宋体"/>
          <w:b/>
          <w:color w:val="FF0000"/>
          <w:sz w:val="24"/>
          <w:szCs w:val="24"/>
        </w:rPr>
        <w:t>80</w:t>
      </w:r>
      <w:r>
        <w:rPr>
          <w:rFonts w:hint="eastAsia" w:ascii="宋体" w:hAnsi="宋体"/>
          <w:b/>
          <w:color w:val="FF0000"/>
          <w:sz w:val="24"/>
          <w:szCs w:val="24"/>
        </w:rPr>
        <w:t>元（大写：叁佰捌拾元整）。报价高于最高投标限价的作废标处理。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2020</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ascii="宋体" w:hAnsi="宋体"/>
          <w:sz w:val="24"/>
          <w:szCs w:val="24"/>
        </w:rPr>
        <w:t>10月</w:t>
      </w:r>
      <w:r>
        <w:rPr>
          <w:rFonts w:hint="eastAsia" w:ascii="宋体" w:hAnsi="宋体"/>
          <w:sz w:val="24"/>
          <w:szCs w:val="24"/>
        </w:rPr>
        <w:t>1</w:t>
      </w:r>
      <w:r>
        <w:rPr>
          <w:rFonts w:ascii="宋体" w:hAnsi="宋体"/>
          <w:sz w:val="24"/>
          <w:szCs w:val="24"/>
        </w:rPr>
        <w:t>4</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pStyle w:val="21"/>
        <w:snapToGrid w:val="0"/>
        <w:spacing w:line="480" w:lineRule="auto"/>
        <w:rPr>
          <w:rFonts w:ascii="宋体" w:hAnsi="宋体" w:cs="宋体"/>
          <w:szCs w:val="22"/>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ascii="宋体" w:hAnsi="宋体"/>
          <w:b/>
          <w:color w:val="FF0000"/>
          <w:sz w:val="28"/>
          <w:szCs w:val="28"/>
          <w:u w:val="single"/>
        </w:rPr>
        <w:t>吊索具</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0">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5</w:t>
      </w:r>
    </w:p>
    <w:tbl>
      <w:tblPr>
        <w:tblStyle w:val="10"/>
        <w:tblW w:w="9209" w:type="dxa"/>
        <w:tblInd w:w="113" w:type="dxa"/>
        <w:tblLayout w:type="autofit"/>
        <w:tblCellMar>
          <w:top w:w="0" w:type="dxa"/>
          <w:left w:w="108" w:type="dxa"/>
          <w:bottom w:w="0" w:type="dxa"/>
          <w:right w:w="108" w:type="dxa"/>
        </w:tblCellMar>
      </w:tblPr>
      <w:tblGrid>
        <w:gridCol w:w="720"/>
        <w:gridCol w:w="1940"/>
        <w:gridCol w:w="3147"/>
        <w:gridCol w:w="1418"/>
        <w:gridCol w:w="1275"/>
        <w:gridCol w:w="709"/>
      </w:tblGrid>
      <w:tr>
        <w:tblPrEx>
          <w:tblCellMar>
            <w:top w:w="0" w:type="dxa"/>
            <w:left w:w="108" w:type="dxa"/>
            <w:bottom w:w="0" w:type="dxa"/>
            <w:right w:w="108" w:type="dxa"/>
          </w:tblCellMar>
        </w:tblPrEx>
        <w:trPr>
          <w:trHeight w:val="510" w:hRule="atLeast"/>
        </w:trPr>
        <w:tc>
          <w:tcPr>
            <w:tcW w:w="9209"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宋体" w:hAnsi="宋体" w:cs="宋体"/>
                <w:b/>
                <w:bCs/>
                <w:kern w:val="0"/>
                <w:sz w:val="40"/>
                <w:szCs w:val="40"/>
              </w:rPr>
            </w:pPr>
            <w:bookmarkStart w:id="0" w:name="RANGE!A1:D73"/>
            <w:r>
              <w:rPr>
                <w:rFonts w:hint="eastAsia" w:ascii="宋体" w:hAnsi="宋体" w:cs="宋体"/>
                <w:b/>
                <w:bCs/>
                <w:kern w:val="0"/>
                <w:sz w:val="40"/>
                <w:szCs w:val="40"/>
              </w:rPr>
              <w:t>吊索具招标物资明细报价表</w:t>
            </w:r>
            <w:bookmarkEnd w:id="0"/>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序号</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物资名称</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型号规格</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报价方式</w:t>
            </w:r>
          </w:p>
        </w:tc>
        <w:tc>
          <w:tcPr>
            <w:tcW w:w="1275" w:type="dxa"/>
            <w:tcBorders>
              <w:top w:val="nil"/>
              <w:left w:val="nil"/>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报价（元）</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b/>
                <w:bCs/>
                <w:kern w:val="0"/>
                <w:sz w:val="24"/>
                <w:szCs w:val="24"/>
              </w:rPr>
            </w:pPr>
            <w:r>
              <w:rPr>
                <w:rFonts w:hint="eastAsia" w:ascii="宋体" w:hAnsi="宋体" w:cs="宋体"/>
                <w:b/>
                <w:bCs/>
                <w:kern w:val="0"/>
                <w:sz w:val="24"/>
                <w:szCs w:val="24"/>
              </w:rPr>
              <w:t>备注</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吊具</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平衡梁及夹钳</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报吨单价</w:t>
            </w:r>
          </w:p>
        </w:tc>
        <w:tc>
          <w:tcPr>
            <w:tcW w:w="127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第一标段合计：</w:t>
            </w:r>
          </w:p>
        </w:tc>
        <w:tc>
          <w:tcPr>
            <w:tcW w:w="3147" w:type="dxa"/>
            <w:tcBorders>
              <w:top w:val="nil"/>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小写：</w:t>
            </w:r>
          </w:p>
        </w:tc>
        <w:tc>
          <w:tcPr>
            <w:tcW w:w="3402" w:type="dxa"/>
            <w:gridSpan w:val="3"/>
            <w:tcBorders>
              <w:top w:val="single" w:color="auto" w:sz="4" w:space="0"/>
              <w:left w:val="nil"/>
              <w:bottom w:val="single" w:color="auto" w:sz="4" w:space="0"/>
              <w:right w:val="single" w:color="auto" w:sz="4" w:space="0"/>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税率：</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授权代表签字：</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投标厂家名称：</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10" w:hRule="atLeast"/>
        </w:trPr>
        <w:tc>
          <w:tcPr>
            <w:tcW w:w="9209" w:type="dxa"/>
            <w:gridSpan w:val="6"/>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94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物资名称</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型号规格</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报价方式</w:t>
            </w:r>
          </w:p>
        </w:tc>
        <w:tc>
          <w:tcPr>
            <w:tcW w:w="127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报价（元）</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钳牙</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  方坯夹钳配用（一套4块）</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套</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启闭器</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 方坯夹钳配用</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套</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Ф12MM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Ф14MM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Ф16MM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Ф18MM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Ф20MM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Ф22MM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9</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Ф26MM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10</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Ф30MM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Ф32MM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Ф34MM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Ф36MM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Ф38MM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锚链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Ф48MM   T8</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米</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高强度起重吊链</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Ф22MM T8 （耐高温850℃）</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套</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 钢板起重钳</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L2.5</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 钢板起重钳</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DSQ3</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19</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模锻起重钳</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20</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模锻起重钳</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模锻起重钳</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16T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无缝长吊环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无缝长吊环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38T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无缝长吊环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29</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无缝长吊环</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30</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羊角钩</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12.5T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羊角钩</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16T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眼型滑钩</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眼型滑钩 </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15T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眼型滑钩</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眼型滑钩</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26T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39</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32T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40</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38T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蝴蝶扣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40T</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永磁起重器</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永磁起重器</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永磁起重器</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永磁起重器</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8T</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台</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尼龙挂胶钩头</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大号</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尼龙挂胶钩头</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小号</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尼龙二次挂胶 </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大号</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49</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xml:space="preserve">尼龙二次挂胶 </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小号</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件</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第二标段合计：</w:t>
            </w:r>
          </w:p>
        </w:tc>
        <w:tc>
          <w:tcPr>
            <w:tcW w:w="3147" w:type="dxa"/>
            <w:tcBorders>
              <w:top w:val="nil"/>
              <w:left w:val="nil"/>
              <w:bottom w:val="single" w:color="auto" w:sz="4" w:space="0"/>
              <w:right w:val="nil"/>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小写：</w:t>
            </w:r>
          </w:p>
        </w:tc>
        <w:tc>
          <w:tcPr>
            <w:tcW w:w="3402" w:type="dxa"/>
            <w:gridSpan w:val="3"/>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税率：</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授权代表签字：</w:t>
            </w:r>
          </w:p>
        </w:tc>
        <w:tc>
          <w:tcPr>
            <w:tcW w:w="6549" w:type="dxa"/>
            <w:gridSpan w:val="4"/>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投标厂家名称：</w:t>
            </w:r>
          </w:p>
        </w:tc>
        <w:tc>
          <w:tcPr>
            <w:tcW w:w="6549" w:type="dxa"/>
            <w:gridSpan w:val="4"/>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94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3147" w:type="dxa"/>
            <w:tcBorders>
              <w:top w:val="nil"/>
              <w:left w:val="nil"/>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418" w:type="dxa"/>
            <w:tcBorders>
              <w:top w:val="nil"/>
              <w:left w:val="nil"/>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1275" w:type="dxa"/>
            <w:tcBorders>
              <w:top w:val="nil"/>
              <w:left w:val="nil"/>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序号</w:t>
            </w:r>
          </w:p>
        </w:tc>
        <w:tc>
          <w:tcPr>
            <w:tcW w:w="194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物资名称</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型号规格</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报价方式</w:t>
            </w:r>
          </w:p>
        </w:tc>
        <w:tc>
          <w:tcPr>
            <w:tcW w:w="1275"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报价（元）</w:t>
            </w:r>
          </w:p>
        </w:tc>
        <w:tc>
          <w:tcPr>
            <w:tcW w:w="709"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16MM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18MM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22MM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4</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24MM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5</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25MM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6</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28MM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30"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7</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32MM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720" w:type="dxa"/>
            <w:tcBorders>
              <w:top w:val="nil"/>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8</w:t>
            </w:r>
          </w:p>
        </w:tc>
        <w:tc>
          <w:tcPr>
            <w:tcW w:w="1940"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高强度卸扣</w:t>
            </w:r>
          </w:p>
        </w:tc>
        <w:tc>
          <w:tcPr>
            <w:tcW w:w="3147"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38MM</w:t>
            </w:r>
          </w:p>
        </w:tc>
        <w:tc>
          <w:tcPr>
            <w:tcW w:w="1418" w:type="dxa"/>
            <w:tcBorders>
              <w:top w:val="nil"/>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个</w:t>
            </w:r>
          </w:p>
        </w:tc>
        <w:tc>
          <w:tcPr>
            <w:tcW w:w="127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c>
          <w:tcPr>
            <w:tcW w:w="70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nil"/>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第三标段合计：</w:t>
            </w:r>
          </w:p>
        </w:tc>
        <w:tc>
          <w:tcPr>
            <w:tcW w:w="3147" w:type="dxa"/>
            <w:tcBorders>
              <w:top w:val="nil"/>
              <w:left w:val="nil"/>
              <w:bottom w:val="single" w:color="auto" w:sz="4" w:space="0"/>
              <w:right w:val="nil"/>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小写：</w:t>
            </w:r>
          </w:p>
        </w:tc>
        <w:tc>
          <w:tcPr>
            <w:tcW w:w="3402" w:type="dxa"/>
            <w:gridSpan w:val="3"/>
            <w:tcBorders>
              <w:top w:val="single" w:color="auto" w:sz="4" w:space="0"/>
              <w:left w:val="nil"/>
              <w:bottom w:val="single" w:color="auto" w:sz="4" w:space="0"/>
              <w:right w:val="single" w:color="000000" w:sz="4" w:space="0"/>
            </w:tcBorders>
            <w:shd w:val="clear" w:color="auto" w:fill="auto"/>
          </w:tcPr>
          <w:p>
            <w:pPr>
              <w:widowControl/>
              <w:jc w:val="left"/>
              <w:rPr>
                <w:rFonts w:ascii="宋体" w:hAnsi="宋体" w:cs="宋体"/>
                <w:kern w:val="0"/>
                <w:sz w:val="24"/>
                <w:szCs w:val="24"/>
              </w:rPr>
            </w:pPr>
            <w:r>
              <w:rPr>
                <w:rFonts w:hint="eastAsia" w:ascii="宋体" w:hAnsi="宋体" w:cs="宋体"/>
                <w:kern w:val="0"/>
                <w:sz w:val="24"/>
                <w:szCs w:val="24"/>
              </w:rPr>
              <w:t>大写：</w:t>
            </w:r>
          </w:p>
        </w:tc>
      </w:tr>
      <w:tr>
        <w:tblPrEx>
          <w:tblCellMar>
            <w:top w:w="0" w:type="dxa"/>
            <w:left w:w="108" w:type="dxa"/>
            <w:bottom w:w="0" w:type="dxa"/>
            <w:right w:w="108" w:type="dxa"/>
          </w:tblCellMar>
        </w:tblPrEx>
        <w:trPr>
          <w:trHeight w:val="345" w:hRule="atLeast"/>
        </w:trPr>
        <w:tc>
          <w:tcPr>
            <w:tcW w:w="2660" w:type="dxa"/>
            <w:gridSpan w:val="2"/>
            <w:tcBorders>
              <w:top w:val="single" w:color="auto" w:sz="4" w:space="0"/>
              <w:left w:val="single" w:color="auto" w:sz="4" w:space="0"/>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税率：</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8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授权代表签字：</w:t>
            </w:r>
          </w:p>
        </w:tc>
        <w:tc>
          <w:tcPr>
            <w:tcW w:w="6549" w:type="dxa"/>
            <w:gridSpan w:val="4"/>
            <w:tcBorders>
              <w:top w:val="single" w:color="auto" w:sz="4" w:space="0"/>
              <w:left w:val="nil"/>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r>
        <w:tblPrEx>
          <w:tblCellMar>
            <w:top w:w="0" w:type="dxa"/>
            <w:left w:w="108" w:type="dxa"/>
            <w:bottom w:w="0" w:type="dxa"/>
            <w:right w:w="108" w:type="dxa"/>
          </w:tblCellMar>
        </w:tblPrEx>
        <w:trPr>
          <w:trHeight w:val="285" w:hRule="atLeast"/>
        </w:trPr>
        <w:tc>
          <w:tcPr>
            <w:tcW w:w="2660" w:type="dxa"/>
            <w:gridSpan w:val="2"/>
            <w:tcBorders>
              <w:top w:val="single" w:color="auto" w:sz="4" w:space="0"/>
              <w:left w:val="single" w:color="auto" w:sz="4" w:space="0"/>
              <w:bottom w:val="single" w:color="auto" w:sz="4" w:space="0"/>
              <w:right w:val="single" w:color="auto"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投标厂家名称：</w:t>
            </w:r>
          </w:p>
        </w:tc>
        <w:tc>
          <w:tcPr>
            <w:tcW w:w="6549" w:type="dxa"/>
            <w:gridSpan w:val="4"/>
            <w:tcBorders>
              <w:top w:val="single" w:color="auto" w:sz="4" w:space="0"/>
              <w:left w:val="nil"/>
              <w:bottom w:val="single" w:color="auto" w:sz="4" w:space="0"/>
              <w:right w:val="single" w:color="000000" w:sz="4" w:space="0"/>
            </w:tcBorders>
            <w:shd w:val="clear" w:color="auto" w:fill="auto"/>
          </w:tcPr>
          <w:p>
            <w:pPr>
              <w:widowControl/>
              <w:jc w:val="center"/>
              <w:rPr>
                <w:rFonts w:ascii="宋体" w:hAnsi="宋体" w:cs="宋体"/>
                <w:kern w:val="0"/>
                <w:sz w:val="24"/>
                <w:szCs w:val="24"/>
              </w:rPr>
            </w:pPr>
            <w:r>
              <w:rPr>
                <w:rFonts w:hint="eastAsia" w:ascii="宋体" w:hAnsi="宋体" w:cs="宋体"/>
                <w:kern w:val="0"/>
                <w:sz w:val="24"/>
                <w:szCs w:val="24"/>
              </w:rPr>
              <w:t>　</w:t>
            </w:r>
          </w:p>
        </w:tc>
      </w:tr>
    </w:tbl>
    <w:p>
      <w:pPr>
        <w:pStyle w:val="9"/>
        <w:widowControl/>
        <w:ind w:firstLine="960" w:firstLineChars="400"/>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6"/>
    <w:multiLevelType w:val="singleLevel"/>
    <w:tmpl w:val="00000006"/>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3AC7"/>
    <w:rsid w:val="00044B52"/>
    <w:rsid w:val="000477BF"/>
    <w:rsid w:val="00050A6F"/>
    <w:rsid w:val="00076704"/>
    <w:rsid w:val="00080CEE"/>
    <w:rsid w:val="00081E20"/>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F1264"/>
    <w:rsid w:val="001F53E5"/>
    <w:rsid w:val="00200DB9"/>
    <w:rsid w:val="002124AF"/>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084F"/>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524B7C"/>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D29"/>
    <w:rsid w:val="009558FC"/>
    <w:rsid w:val="00974485"/>
    <w:rsid w:val="009755F8"/>
    <w:rsid w:val="00993AAF"/>
    <w:rsid w:val="009D081B"/>
    <w:rsid w:val="009D2025"/>
    <w:rsid w:val="009D3A69"/>
    <w:rsid w:val="00A02F89"/>
    <w:rsid w:val="00A11A78"/>
    <w:rsid w:val="00A13B10"/>
    <w:rsid w:val="00A13DE2"/>
    <w:rsid w:val="00A16901"/>
    <w:rsid w:val="00A2048F"/>
    <w:rsid w:val="00A21082"/>
    <w:rsid w:val="00A31D64"/>
    <w:rsid w:val="00A33520"/>
    <w:rsid w:val="00A35758"/>
    <w:rsid w:val="00A559A8"/>
    <w:rsid w:val="00A648F0"/>
    <w:rsid w:val="00A676F4"/>
    <w:rsid w:val="00A81ADF"/>
    <w:rsid w:val="00A84C8E"/>
    <w:rsid w:val="00A94596"/>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841"/>
    <w:rsid w:val="00BA1E3C"/>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47AA"/>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A697B"/>
    <w:rsid w:val="00FB0FC1"/>
    <w:rsid w:val="00FC199C"/>
    <w:rsid w:val="00FC63E4"/>
    <w:rsid w:val="00FF65F2"/>
    <w:rsid w:val="01BA37EC"/>
    <w:rsid w:val="038D2F19"/>
    <w:rsid w:val="043C4162"/>
    <w:rsid w:val="04823B21"/>
    <w:rsid w:val="05325D34"/>
    <w:rsid w:val="053B5FB3"/>
    <w:rsid w:val="05C52E89"/>
    <w:rsid w:val="06CB7169"/>
    <w:rsid w:val="0831406E"/>
    <w:rsid w:val="08A96692"/>
    <w:rsid w:val="0BFF25BD"/>
    <w:rsid w:val="0CBC295F"/>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4242F7"/>
    <w:rsid w:val="1F802445"/>
    <w:rsid w:val="21133B37"/>
    <w:rsid w:val="21534F77"/>
    <w:rsid w:val="21A2160C"/>
    <w:rsid w:val="22B96773"/>
    <w:rsid w:val="22E00851"/>
    <w:rsid w:val="23D22DCD"/>
    <w:rsid w:val="25B129B0"/>
    <w:rsid w:val="26F50CB1"/>
    <w:rsid w:val="278055FF"/>
    <w:rsid w:val="288D3DC5"/>
    <w:rsid w:val="28E2171B"/>
    <w:rsid w:val="29401D6D"/>
    <w:rsid w:val="2BF40243"/>
    <w:rsid w:val="2C204052"/>
    <w:rsid w:val="2C4E01C4"/>
    <w:rsid w:val="2CF31D5E"/>
    <w:rsid w:val="2E3D1B0F"/>
    <w:rsid w:val="3036622A"/>
    <w:rsid w:val="30CA3841"/>
    <w:rsid w:val="3130279D"/>
    <w:rsid w:val="35212328"/>
    <w:rsid w:val="36A65EF8"/>
    <w:rsid w:val="373827F1"/>
    <w:rsid w:val="379345D1"/>
    <w:rsid w:val="37974BFF"/>
    <w:rsid w:val="37BE23C2"/>
    <w:rsid w:val="387F2F2C"/>
    <w:rsid w:val="3A3F65BD"/>
    <w:rsid w:val="3A773720"/>
    <w:rsid w:val="3C456A69"/>
    <w:rsid w:val="3C487023"/>
    <w:rsid w:val="3C887586"/>
    <w:rsid w:val="3D5A40AB"/>
    <w:rsid w:val="3DB441B2"/>
    <w:rsid w:val="3E371640"/>
    <w:rsid w:val="3EB93F1F"/>
    <w:rsid w:val="3F0B65A3"/>
    <w:rsid w:val="41394D83"/>
    <w:rsid w:val="41A706B0"/>
    <w:rsid w:val="422E1FDF"/>
    <w:rsid w:val="423C71D1"/>
    <w:rsid w:val="426213B7"/>
    <w:rsid w:val="42CE1EFE"/>
    <w:rsid w:val="4500284B"/>
    <w:rsid w:val="45407B03"/>
    <w:rsid w:val="45C004AA"/>
    <w:rsid w:val="47AD433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706A3FF6"/>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D2A47F3"/>
    <w:rsid w:val="7E846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uiPriority w:val="0"/>
    <w:pPr>
      <w:spacing w:after="120"/>
    </w:pPr>
  </w:style>
  <w:style w:type="paragraph" w:styleId="4">
    <w:name w:val="Body Text Indent"/>
    <w:basedOn w:val="1"/>
    <w:link w:val="13"/>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1029</Words>
  <Characters>5870</Characters>
  <Lines>48</Lines>
  <Paragraphs>13</Paragraphs>
  <TotalTime>0</TotalTime>
  <ScaleCrop>false</ScaleCrop>
  <LinksUpToDate>false</LinksUpToDate>
  <CharactersWithSpaces>6886</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2020-10-14T08:15:59Z</dcterms:modified>
  <dc:title>招 标 发 布</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