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烧结风机烟道喷涂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27</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bookmarkStart w:id="0" w:name="_GoBack"/>
      <w:r>
        <w:rPr>
          <w:rFonts w:hint="eastAsia"/>
          <w:sz w:val="24"/>
          <w:szCs w:val="24"/>
        </w:rPr>
        <w:t>：</w:t>
      </w:r>
      <w:r>
        <w:rPr>
          <w:rFonts w:hint="eastAsia" w:ascii="宋体" w:hAnsi="宋体"/>
          <w:color w:val="000000"/>
          <w:u w:val="single"/>
          <w:lang w:val="en-US" w:eastAsia="zh-CN"/>
        </w:rPr>
        <w:t>ZG</w:t>
      </w:r>
      <w:r>
        <w:rPr>
          <w:rFonts w:hint="eastAsia" w:ascii="宋体" w:hAnsi="宋体"/>
          <w:u w:val="single"/>
          <w:lang w:val="en-US" w:eastAsia="zh-CN"/>
        </w:rPr>
        <w:t>SC20201104SJFJYDPT</w:t>
      </w:r>
      <w:bookmarkEnd w:id="0"/>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炼铁烧结风机烟道喷涂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3</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6日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3</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施工面积约1000㎡，喷涂料理化指标、施工内容、验收要求详见技术协议。</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本次招标为包工包料形式，供应单位负责施工。</w:t>
      </w:r>
    </w:p>
    <w:p>
      <w:pPr>
        <w:numPr>
          <w:ilvl w:val="0"/>
          <w:numId w:val="9"/>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eastAsia="zh-CN"/>
        </w:rPr>
        <w:t>安全保障金：中标单位入厂施工前需向招标方缴纳60万元安全保障金，施工结束，无安全事故退回。</w:t>
      </w:r>
    </w:p>
    <w:p>
      <w:pPr>
        <w:numPr>
          <w:ilvl w:val="0"/>
          <w:numId w:val="9"/>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960</w:t>
      </w:r>
      <w:r>
        <w:rPr>
          <w:rFonts w:hint="eastAsia" w:ascii="宋体" w:hAnsi="宋体"/>
          <w:b/>
          <w:color w:val="FF0000"/>
          <w:sz w:val="24"/>
          <w:szCs w:val="24"/>
        </w:rPr>
        <w:t>元</w:t>
      </w:r>
      <w:r>
        <w:rPr>
          <w:rFonts w:hint="eastAsia" w:ascii="宋体" w:hAnsi="宋体"/>
          <w:b/>
          <w:color w:val="FF0000"/>
          <w:sz w:val="24"/>
          <w:szCs w:val="24"/>
          <w:lang w:val="en-US" w:eastAsia="zh-CN"/>
        </w:rPr>
        <w:t>/㎡</w:t>
      </w:r>
      <w:r>
        <w:rPr>
          <w:rFonts w:hint="eastAsia" w:ascii="宋体" w:hAnsi="宋体"/>
          <w:b/>
          <w:color w:val="FF0000"/>
          <w:sz w:val="24"/>
          <w:szCs w:val="24"/>
        </w:rPr>
        <w:t>（大写：</w:t>
      </w:r>
      <w:r>
        <w:rPr>
          <w:rFonts w:hint="eastAsia" w:ascii="宋体" w:hAnsi="宋体"/>
          <w:b/>
          <w:color w:val="FF0000"/>
          <w:sz w:val="24"/>
          <w:szCs w:val="24"/>
          <w:lang w:val="en-US" w:eastAsia="zh-CN"/>
        </w:rPr>
        <w:t>玖佰陆拾元每平方米</w:t>
      </w:r>
      <w:r>
        <w:rPr>
          <w:rFonts w:hint="eastAsia" w:ascii="宋体" w:hAnsi="宋体"/>
          <w:b/>
          <w:color w:val="FF0000"/>
          <w:sz w:val="24"/>
          <w:szCs w:val="24"/>
        </w:rPr>
        <w:t>），报价高于此最高投标限价的作废标处理。</w:t>
      </w: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炼铁烧结风机烟道喷涂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653"/>
        <w:gridCol w:w="526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4" w:type="pct"/>
            <w:noWrap w:val="0"/>
            <w:vAlign w:val="center"/>
          </w:tcPr>
          <w:p>
            <w:pPr>
              <w:jc w:val="center"/>
              <w:rPr>
                <w:rFonts w:hint="eastAsia"/>
                <w:sz w:val="18"/>
                <w:szCs w:val="18"/>
              </w:rPr>
            </w:pPr>
            <w:r>
              <w:rPr>
                <w:rFonts w:hint="eastAsia"/>
                <w:sz w:val="18"/>
                <w:szCs w:val="18"/>
              </w:rPr>
              <w:t>序号</w:t>
            </w:r>
          </w:p>
        </w:tc>
        <w:tc>
          <w:tcPr>
            <w:tcW w:w="929" w:type="pct"/>
            <w:noWrap w:val="0"/>
            <w:vAlign w:val="center"/>
          </w:tcPr>
          <w:p>
            <w:pPr>
              <w:jc w:val="center"/>
              <w:rPr>
                <w:rFonts w:hint="eastAsia"/>
                <w:sz w:val="18"/>
                <w:szCs w:val="18"/>
              </w:rPr>
            </w:pPr>
            <w:r>
              <w:rPr>
                <w:rFonts w:hint="eastAsia"/>
                <w:sz w:val="18"/>
                <w:szCs w:val="18"/>
              </w:rPr>
              <w:t>物资名称</w:t>
            </w:r>
          </w:p>
        </w:tc>
        <w:tc>
          <w:tcPr>
            <w:tcW w:w="2959" w:type="pct"/>
            <w:noWrap w:val="0"/>
            <w:vAlign w:val="center"/>
          </w:tcPr>
          <w:p>
            <w:pPr>
              <w:jc w:val="center"/>
              <w:rPr>
                <w:rFonts w:hint="eastAsia"/>
                <w:sz w:val="18"/>
                <w:szCs w:val="18"/>
              </w:rPr>
            </w:pPr>
            <w:r>
              <w:rPr>
                <w:rFonts w:hint="eastAsia"/>
                <w:sz w:val="18"/>
                <w:szCs w:val="18"/>
              </w:rPr>
              <w:t>含税、含运费报价（元/</w:t>
            </w:r>
            <w:r>
              <w:rPr>
                <w:rFonts w:hint="eastAsia"/>
                <w:sz w:val="18"/>
                <w:szCs w:val="18"/>
                <w:lang w:val="en-US" w:eastAsia="zh-CN"/>
              </w:rPr>
              <w:t>㎡</w:t>
            </w:r>
            <w:r>
              <w:rPr>
                <w:rFonts w:hint="eastAsia"/>
                <w:sz w:val="18"/>
                <w:szCs w:val="18"/>
              </w:rPr>
              <w:t>）</w:t>
            </w:r>
          </w:p>
        </w:tc>
        <w:tc>
          <w:tcPr>
            <w:tcW w:w="777" w:type="pct"/>
            <w:noWrap w:val="0"/>
            <w:vAlign w:val="center"/>
          </w:tcPr>
          <w:p>
            <w:pPr>
              <w:jc w:val="center"/>
              <w:rPr>
                <w:rFonts w:hint="eastAsia" w:eastAsia="宋体"/>
                <w:sz w:val="18"/>
                <w:szCs w:val="18"/>
                <w:lang w:eastAsia="zh-CN"/>
              </w:rPr>
            </w:pPr>
            <w:r>
              <w:rPr>
                <w:rFonts w:hint="eastAsia"/>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4" w:type="pct"/>
            <w:vMerge w:val="restart"/>
            <w:noWrap w:val="0"/>
            <w:vAlign w:val="center"/>
          </w:tcPr>
          <w:p>
            <w:pPr>
              <w:jc w:val="center"/>
              <w:rPr>
                <w:sz w:val="24"/>
                <w:szCs w:val="24"/>
              </w:rPr>
            </w:pPr>
            <w:r>
              <w:rPr>
                <w:rFonts w:hint="eastAsia"/>
                <w:sz w:val="24"/>
                <w:szCs w:val="24"/>
              </w:rPr>
              <w:t>1</w:t>
            </w:r>
          </w:p>
        </w:tc>
        <w:tc>
          <w:tcPr>
            <w:tcW w:w="929" w:type="pct"/>
            <w:vMerge w:val="restart"/>
            <w:noWrap w:val="0"/>
            <w:vAlign w:val="center"/>
          </w:tcPr>
          <w:p>
            <w:pPr>
              <w:jc w:val="center"/>
              <w:rPr>
                <w:rFonts w:hint="eastAsia" w:eastAsia="宋体"/>
                <w:sz w:val="24"/>
                <w:szCs w:val="24"/>
                <w:lang w:eastAsia="zh-CN"/>
              </w:rPr>
            </w:pPr>
            <w:r>
              <w:rPr>
                <w:rFonts w:hint="eastAsia" w:ascii="宋体" w:hAnsi="宋体"/>
                <w:b/>
                <w:color w:val="FF0000"/>
                <w:sz w:val="28"/>
                <w:szCs w:val="28"/>
                <w:u w:val="none"/>
                <w:lang w:val="en-US" w:eastAsia="zh-CN"/>
              </w:rPr>
              <w:t>炼铁烧结风机烟道喷涂</w:t>
            </w:r>
          </w:p>
        </w:tc>
        <w:tc>
          <w:tcPr>
            <w:tcW w:w="2959" w:type="pct"/>
            <w:noWrap w:val="0"/>
            <w:vAlign w:val="center"/>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w:t>
            </w:r>
            <w:r>
              <w:rPr>
                <w:rFonts w:hint="eastAsia"/>
                <w:sz w:val="18"/>
                <w:szCs w:val="18"/>
                <w:lang w:val="en-US" w:eastAsia="zh-CN"/>
              </w:rPr>
              <w:t>㎡</w:t>
            </w:r>
          </w:p>
        </w:tc>
        <w:tc>
          <w:tcPr>
            <w:tcW w:w="777" w:type="pct"/>
            <w:vMerge w:val="restart"/>
            <w:noWrap w:val="0"/>
            <w:vAlign w:val="top"/>
          </w:tcPr>
          <w:p>
            <w:pPr>
              <w:jc w:val="both"/>
              <w:rPr>
                <w:rFonts w:hint="default" w:eastAsia="宋体"/>
                <w:sz w:val="28"/>
                <w:szCs w:val="28"/>
                <w:lang w:val="en-US" w:eastAsia="zh-CN"/>
              </w:rPr>
            </w:pPr>
            <w:r>
              <w:rPr>
                <w:rFonts w:hint="eastAsia"/>
                <w:sz w:val="28"/>
                <w:szCs w:val="28"/>
                <w:lang w:val="en-US" w:eastAsia="zh-CN"/>
              </w:rPr>
              <w:t>此价格为包工包料含税价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4" w:type="pct"/>
            <w:vMerge w:val="continue"/>
            <w:noWrap w:val="0"/>
            <w:vAlign w:val="center"/>
          </w:tcPr>
          <w:p>
            <w:pPr>
              <w:jc w:val="center"/>
              <w:rPr>
                <w:rFonts w:hint="eastAsia"/>
                <w:sz w:val="24"/>
                <w:szCs w:val="24"/>
              </w:rPr>
            </w:pPr>
          </w:p>
        </w:tc>
        <w:tc>
          <w:tcPr>
            <w:tcW w:w="929" w:type="pct"/>
            <w:vMerge w:val="continue"/>
            <w:noWrap w:val="0"/>
            <w:vAlign w:val="center"/>
          </w:tcPr>
          <w:p>
            <w:pPr>
              <w:jc w:val="center"/>
              <w:rPr>
                <w:rFonts w:hint="eastAsia" w:ascii="宋体" w:hAnsi="宋体"/>
                <w:b/>
                <w:color w:val="000000"/>
                <w:sz w:val="24"/>
                <w:szCs w:val="24"/>
              </w:rPr>
            </w:pPr>
          </w:p>
        </w:tc>
        <w:tc>
          <w:tcPr>
            <w:tcW w:w="2959" w:type="pct"/>
            <w:noWrap w:val="0"/>
            <w:vAlign w:val="center"/>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大写：</w:t>
            </w:r>
            <w:r>
              <w:rPr>
                <w:rFonts w:hint="eastAsia"/>
                <w:sz w:val="24"/>
                <w:szCs w:val="24"/>
                <w:lang w:val="en-US" w:eastAsia="zh-CN"/>
              </w:rPr>
              <w:t xml:space="preserve">                         </w:t>
            </w:r>
            <w:r>
              <w:rPr>
                <w:rFonts w:hint="eastAsia"/>
                <w:sz w:val="18"/>
                <w:szCs w:val="18"/>
              </w:rPr>
              <w:t>元/</w:t>
            </w:r>
            <w:r>
              <w:rPr>
                <w:rFonts w:hint="eastAsia"/>
                <w:sz w:val="18"/>
                <w:szCs w:val="18"/>
                <w:lang w:val="en-US" w:eastAsia="zh-CN"/>
              </w:rPr>
              <w:t>㎡</w:t>
            </w:r>
          </w:p>
        </w:tc>
        <w:tc>
          <w:tcPr>
            <w:tcW w:w="777"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4"/>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4"/>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4"/>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4"/>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7"/>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FF25BD"/>
    <w:rsid w:val="0CBC295F"/>
    <w:rsid w:val="0DF07D84"/>
    <w:rsid w:val="0E497616"/>
    <w:rsid w:val="0E842CB1"/>
    <w:rsid w:val="0F0803D8"/>
    <w:rsid w:val="0F347211"/>
    <w:rsid w:val="10CA64E1"/>
    <w:rsid w:val="110928F7"/>
    <w:rsid w:val="11654D47"/>
    <w:rsid w:val="135C10D5"/>
    <w:rsid w:val="139F3DA1"/>
    <w:rsid w:val="13D576D7"/>
    <w:rsid w:val="154D48F1"/>
    <w:rsid w:val="16541AFE"/>
    <w:rsid w:val="1694444C"/>
    <w:rsid w:val="17F97F08"/>
    <w:rsid w:val="18560C92"/>
    <w:rsid w:val="18ED4DB4"/>
    <w:rsid w:val="19B16948"/>
    <w:rsid w:val="1A8A6D05"/>
    <w:rsid w:val="1CCB1E53"/>
    <w:rsid w:val="1D2E11E1"/>
    <w:rsid w:val="1E937D02"/>
    <w:rsid w:val="1F107E3E"/>
    <w:rsid w:val="1F4242F7"/>
    <w:rsid w:val="1F802445"/>
    <w:rsid w:val="21133B37"/>
    <w:rsid w:val="21534F77"/>
    <w:rsid w:val="21A2160C"/>
    <w:rsid w:val="22B96773"/>
    <w:rsid w:val="22E00851"/>
    <w:rsid w:val="23CB766B"/>
    <w:rsid w:val="23D22DCD"/>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3036622A"/>
    <w:rsid w:val="30CA3841"/>
    <w:rsid w:val="3130279D"/>
    <w:rsid w:val="31DF7B93"/>
    <w:rsid w:val="339D246B"/>
    <w:rsid w:val="342060A8"/>
    <w:rsid w:val="35212328"/>
    <w:rsid w:val="358603F2"/>
    <w:rsid w:val="36A65EF8"/>
    <w:rsid w:val="36FB2C59"/>
    <w:rsid w:val="373827F1"/>
    <w:rsid w:val="379345D1"/>
    <w:rsid w:val="37974BFF"/>
    <w:rsid w:val="37BE23C2"/>
    <w:rsid w:val="387F2F2C"/>
    <w:rsid w:val="3A3F65BD"/>
    <w:rsid w:val="3A773720"/>
    <w:rsid w:val="3C456A69"/>
    <w:rsid w:val="3C487023"/>
    <w:rsid w:val="3C887586"/>
    <w:rsid w:val="3D5A40AB"/>
    <w:rsid w:val="3DB441B2"/>
    <w:rsid w:val="3E371640"/>
    <w:rsid w:val="3EB93F1F"/>
    <w:rsid w:val="3EF869AA"/>
    <w:rsid w:val="3F0B65A3"/>
    <w:rsid w:val="3FC82DB5"/>
    <w:rsid w:val="404A6AC9"/>
    <w:rsid w:val="41394D83"/>
    <w:rsid w:val="41A706B0"/>
    <w:rsid w:val="41BF02F4"/>
    <w:rsid w:val="422E1FDF"/>
    <w:rsid w:val="423C71D1"/>
    <w:rsid w:val="426213B7"/>
    <w:rsid w:val="42CE1EFE"/>
    <w:rsid w:val="4500284B"/>
    <w:rsid w:val="45407B03"/>
    <w:rsid w:val="45C004AA"/>
    <w:rsid w:val="47847BD9"/>
    <w:rsid w:val="47AD4330"/>
    <w:rsid w:val="48E1049E"/>
    <w:rsid w:val="49280B38"/>
    <w:rsid w:val="492C5B3D"/>
    <w:rsid w:val="4B635392"/>
    <w:rsid w:val="4BA21255"/>
    <w:rsid w:val="4DC66F68"/>
    <w:rsid w:val="514F2EE0"/>
    <w:rsid w:val="51A458AF"/>
    <w:rsid w:val="52E54E97"/>
    <w:rsid w:val="52EE0AE7"/>
    <w:rsid w:val="554C057B"/>
    <w:rsid w:val="562E1D47"/>
    <w:rsid w:val="566E6D8E"/>
    <w:rsid w:val="56FF0A43"/>
    <w:rsid w:val="57D705F2"/>
    <w:rsid w:val="5AAF6E02"/>
    <w:rsid w:val="5AEA3AD0"/>
    <w:rsid w:val="5B1D2529"/>
    <w:rsid w:val="5B35349E"/>
    <w:rsid w:val="5BA959B9"/>
    <w:rsid w:val="5D173705"/>
    <w:rsid w:val="5D1B4B8A"/>
    <w:rsid w:val="5D915ACD"/>
    <w:rsid w:val="5E611270"/>
    <w:rsid w:val="5EB2026E"/>
    <w:rsid w:val="61033D16"/>
    <w:rsid w:val="625B24D7"/>
    <w:rsid w:val="62CD795C"/>
    <w:rsid w:val="66EA0C9A"/>
    <w:rsid w:val="66FB3BC1"/>
    <w:rsid w:val="678F7868"/>
    <w:rsid w:val="68985C4A"/>
    <w:rsid w:val="68BB275A"/>
    <w:rsid w:val="695E0A51"/>
    <w:rsid w:val="6AE713EB"/>
    <w:rsid w:val="6C7B13C4"/>
    <w:rsid w:val="6CA73029"/>
    <w:rsid w:val="6D027CD6"/>
    <w:rsid w:val="6E550ED4"/>
    <w:rsid w:val="6EA5652C"/>
    <w:rsid w:val="6ED71557"/>
    <w:rsid w:val="706A3FF6"/>
    <w:rsid w:val="70D03715"/>
    <w:rsid w:val="70E0155E"/>
    <w:rsid w:val="711219DD"/>
    <w:rsid w:val="71F96DCA"/>
    <w:rsid w:val="72107C5B"/>
    <w:rsid w:val="732D2693"/>
    <w:rsid w:val="7357254E"/>
    <w:rsid w:val="73611393"/>
    <w:rsid w:val="754F1E1A"/>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2020-10-27T09:12:54Z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