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r>
        <w:rPr>
          <w:rFonts w:hint="eastAsia" w:ascii="宋体" w:hAnsi="宋体"/>
          <w:b/>
          <w:sz w:val="36"/>
          <w:szCs w:val="36"/>
        </w:rPr>
        <w:t>芜湖新兴铸管有限责任公司</w:t>
      </w:r>
    </w:p>
    <w:p>
      <w:pPr>
        <w:jc w:val="center"/>
        <w:rPr>
          <w:rFonts w:hint="eastAsia" w:ascii="宋体" w:hAnsi="宋体"/>
          <w:b/>
          <w:sz w:val="44"/>
          <w:szCs w:val="44"/>
          <w:lang w:val="en-US" w:eastAsia="zh-CN"/>
        </w:rPr>
      </w:pPr>
      <w:r>
        <w:rPr>
          <w:rFonts w:hint="eastAsia" w:ascii="宋体" w:hAnsi="宋体"/>
          <w:b/>
          <w:sz w:val="44"/>
          <w:szCs w:val="44"/>
          <w:lang w:val="en-US" w:eastAsia="zh-CN"/>
        </w:rPr>
        <w:t>炼铁部大烟道耐磨内衬更换</w:t>
      </w:r>
    </w:p>
    <w:p>
      <w:pPr>
        <w:jc w:val="center"/>
        <w:rPr>
          <w:color w:val="000000"/>
          <w:sz w:val="44"/>
          <w:szCs w:val="44"/>
        </w:rPr>
      </w:pPr>
      <w:r>
        <w:rPr>
          <w:rFonts w:hint="eastAsia" w:ascii="宋体" w:hAnsi="宋体"/>
          <w:b/>
          <w:sz w:val="44"/>
          <w:szCs w:val="44"/>
        </w:rPr>
        <w:t>招标公告</w:t>
      </w:r>
    </w:p>
    <w:p>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lang w:val="en-US" w:eastAsia="zh-CN"/>
        </w:rPr>
        <w:t>2020</w:t>
      </w:r>
      <w:r>
        <w:rPr>
          <w:rFonts w:hint="eastAsia"/>
          <w:color w:val="000000"/>
          <w:sz w:val="24"/>
          <w:szCs w:val="24"/>
        </w:rPr>
        <w:t xml:space="preserve">年 </w:t>
      </w:r>
      <w:r>
        <w:rPr>
          <w:rFonts w:hint="eastAsia"/>
          <w:color w:val="000000"/>
          <w:sz w:val="24"/>
          <w:szCs w:val="24"/>
          <w:u w:val="single"/>
        </w:rPr>
        <w:t xml:space="preserve"> </w:t>
      </w:r>
      <w:r>
        <w:rPr>
          <w:rFonts w:hint="eastAsia"/>
          <w:color w:val="000000"/>
          <w:sz w:val="24"/>
          <w:szCs w:val="24"/>
          <w:u w:val="single"/>
          <w:lang w:val="en-US" w:eastAsia="zh-CN"/>
        </w:rPr>
        <w:t>10</w:t>
      </w:r>
      <w:r>
        <w:rPr>
          <w:rFonts w:hint="eastAsia"/>
          <w:color w:val="000000"/>
          <w:sz w:val="24"/>
          <w:szCs w:val="24"/>
          <w:u w:val="single"/>
        </w:rPr>
        <w:t xml:space="preserve"> </w:t>
      </w:r>
      <w:r>
        <w:rPr>
          <w:rFonts w:hint="eastAsia"/>
          <w:color w:val="000000"/>
          <w:sz w:val="24"/>
          <w:szCs w:val="24"/>
        </w:rPr>
        <w:t>月</w:t>
      </w:r>
      <w:r>
        <w:rPr>
          <w:rFonts w:hint="eastAsia"/>
          <w:color w:val="000000"/>
          <w:sz w:val="24"/>
          <w:szCs w:val="24"/>
          <w:u w:val="single"/>
        </w:rPr>
        <w:t xml:space="preserve">  </w:t>
      </w:r>
      <w:r>
        <w:rPr>
          <w:rFonts w:hint="eastAsia"/>
          <w:color w:val="000000"/>
          <w:sz w:val="24"/>
          <w:szCs w:val="24"/>
          <w:u w:val="single"/>
          <w:lang w:val="en-US" w:eastAsia="zh-CN"/>
        </w:rPr>
        <w:t>29</w:t>
      </w:r>
      <w:r>
        <w:rPr>
          <w:rFonts w:hint="eastAsia"/>
          <w:color w:val="000000"/>
          <w:sz w:val="24"/>
          <w:szCs w:val="24"/>
          <w:u w:val="single"/>
        </w:rPr>
        <w:t xml:space="preserve"> </w:t>
      </w:r>
      <w:r>
        <w:rPr>
          <w:rFonts w:hint="eastAsia"/>
          <w:color w:val="000000"/>
          <w:sz w:val="24"/>
          <w:szCs w:val="24"/>
        </w:rPr>
        <w:t>日</w:t>
      </w:r>
    </w:p>
    <w:p>
      <w:pPr>
        <w:spacing w:line="240" w:lineRule="atLeast"/>
        <w:rPr>
          <w:rFonts w:hint="default" w:ascii="仿宋_GB2312" w:eastAsia="仿宋_GB2312"/>
          <w:bCs/>
          <w:sz w:val="24"/>
          <w:szCs w:val="24"/>
          <w:u w:val="single"/>
          <w:lang w:val="en-US"/>
        </w:rPr>
      </w:pPr>
      <w:r>
        <w:rPr>
          <w:rFonts w:hint="eastAsia"/>
          <w:color w:val="000000"/>
          <w:sz w:val="24"/>
          <w:szCs w:val="24"/>
        </w:rPr>
        <w:t xml:space="preserve">                         招标号</w:t>
      </w:r>
      <w:r>
        <w:rPr>
          <w:rFonts w:hint="eastAsia"/>
          <w:sz w:val="24"/>
          <w:szCs w:val="24"/>
        </w:rPr>
        <w:t>：</w:t>
      </w:r>
      <w:r>
        <w:rPr>
          <w:rFonts w:hint="eastAsia" w:ascii="宋体" w:hAnsi="宋体"/>
          <w:color w:val="000000"/>
          <w:u w:val="single"/>
          <w:lang w:val="en-US" w:eastAsia="zh-CN"/>
        </w:rPr>
        <w:t>LT</w:t>
      </w:r>
      <w:r>
        <w:rPr>
          <w:rFonts w:hint="eastAsia" w:ascii="宋体" w:hAnsi="宋体"/>
          <w:u w:val="single"/>
          <w:lang w:val="en-US" w:eastAsia="zh-CN"/>
        </w:rPr>
        <w:t>SC20201107DYDNMNCGH</w:t>
      </w:r>
    </w:p>
    <w:p>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Pr>
          <w:rFonts w:hint="eastAsia" w:ascii="宋体" w:hAnsi="宋体"/>
          <w:b/>
          <w:color w:val="FF0000"/>
          <w:sz w:val="28"/>
          <w:szCs w:val="28"/>
          <w:lang w:val="en-US" w:eastAsia="zh-CN"/>
        </w:rPr>
        <w:t>炼铁部大烟道耐磨内衬更换</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w:t>
      </w:r>
      <w:r>
        <w:rPr>
          <w:rFonts w:hint="eastAsia"/>
          <w:color w:val="2A2A2A"/>
          <w:sz w:val="24"/>
          <w:szCs w:val="24"/>
          <w:shd w:val="clear" w:color="auto" w:fill="FFFFFF"/>
          <w:lang w:val="en-US" w:eastAsia="zh-CN"/>
        </w:rPr>
        <w:t>石宇</w:t>
      </w:r>
      <w:r>
        <w:rPr>
          <w:rFonts w:hint="eastAsia"/>
          <w:color w:val="2A2A2A"/>
          <w:sz w:val="24"/>
          <w:szCs w:val="24"/>
          <w:shd w:val="clear" w:color="auto" w:fill="FFFFFF"/>
        </w:rPr>
        <w:t>邮箱。</w:t>
      </w:r>
    </w:p>
    <w:p>
      <w:pPr>
        <w:pStyle w:val="9"/>
        <w:keepNext w:val="0"/>
        <w:keepLines w:val="0"/>
        <w:pageBreakBefore w:val="0"/>
        <w:widowControl/>
        <w:shd w:val="clear" w:color="auto" w:fill="FFFFFF"/>
        <w:kinsoku/>
        <w:wordWrap/>
        <w:overflowPunct/>
        <w:topLinePunct w:val="0"/>
        <w:autoSpaceDE/>
        <w:autoSpaceDN/>
        <w:bidi w:val="0"/>
        <w:adjustRightInd/>
        <w:snapToGrid/>
        <w:spacing w:line="400" w:lineRule="exact"/>
        <w:textAlignment w:val="auto"/>
        <w:rPr>
          <w:rFonts w:hint="default" w:ascii="宋体" w:hAnsi="宋体"/>
          <w:kern w:val="2"/>
          <w:sz w:val="24"/>
          <w:szCs w:val="24"/>
          <w:lang w:val="en-US" w:eastAsia="zh-CN" w:bidi="ar-SA"/>
        </w:rPr>
      </w:pPr>
      <w:r>
        <w:rPr>
          <w:rFonts w:hint="eastAsia" w:ascii="宋体" w:hAnsi="宋体"/>
          <w:kern w:val="2"/>
          <w:sz w:val="24"/>
          <w:szCs w:val="24"/>
          <w:lang w:val="en-US" w:eastAsia="zh-CN" w:bidi="ar-SA"/>
        </w:rPr>
        <w:t xml:space="preserve">联系人及电话： </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招标办：       石  宇  15255329626</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xml:space="preserve">炉料部：       </w:t>
      </w:r>
      <w:r>
        <w:rPr>
          <w:rFonts w:hint="eastAsia" w:ascii="宋体" w:hAnsi="宋体" w:cs="Times New Roman"/>
          <w:kern w:val="2"/>
          <w:sz w:val="24"/>
          <w:szCs w:val="24"/>
          <w:lang w:val="en-US" w:eastAsia="zh-CN" w:bidi="ar-SA"/>
        </w:rPr>
        <w:t>柯  工</w:t>
      </w:r>
      <w:r>
        <w:rPr>
          <w:rFonts w:hint="eastAsia" w:ascii="宋体" w:hAnsi="宋体" w:eastAsia="宋体" w:cs="Times New Roman"/>
          <w:kern w:val="2"/>
          <w:sz w:val="24"/>
          <w:szCs w:val="24"/>
          <w:lang w:val="en-US" w:eastAsia="zh-CN" w:bidi="ar-SA"/>
        </w:rPr>
        <w:t xml:space="preserve">    </w:t>
      </w:r>
      <w:r>
        <w:rPr>
          <w:rFonts w:hint="eastAsia" w:ascii="宋体" w:hAnsi="宋体" w:cs="Times New Roman"/>
          <w:kern w:val="2"/>
          <w:sz w:val="24"/>
          <w:szCs w:val="24"/>
          <w:lang w:val="en-US" w:eastAsia="zh-CN" w:bidi="ar-SA"/>
        </w:rPr>
        <w:t>13955388390</w:t>
      </w:r>
    </w:p>
    <w:p>
      <w:pPr>
        <w:ind w:firstLine="1320" w:firstLineChars="550"/>
        <w:rPr>
          <w:rFonts w:ascii="宋体" w:hAnsi="宋体"/>
          <w:sz w:val="24"/>
          <w:szCs w:val="24"/>
        </w:rPr>
      </w:pPr>
      <w:r>
        <w:rPr>
          <w:rFonts w:hint="eastAsia" w:ascii="宋体" w:hAnsi="宋体"/>
          <w:sz w:val="24"/>
          <w:szCs w:val="24"/>
        </w:rPr>
        <w:t xml:space="preserve">  </w:t>
      </w:r>
    </w:p>
    <w:p>
      <w:pPr>
        <w:tabs>
          <w:tab w:val="left" w:pos="840"/>
        </w:tabs>
        <w:rPr>
          <w:rFonts w:ascii="宋体" w:hAnsi="宋体"/>
          <w:sz w:val="24"/>
          <w:szCs w:val="24"/>
        </w:rPr>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sz w:val="24"/>
          <w:szCs w:val="24"/>
          <w:u w:val="single"/>
          <w:lang w:val="en-US" w:eastAsia="zh-CN"/>
        </w:rPr>
        <w:t>2020</w:t>
      </w:r>
      <w:r>
        <w:rPr>
          <w:rFonts w:ascii="宋体" w:hAnsi="宋体"/>
          <w:bCs/>
          <w:sz w:val="24"/>
          <w:szCs w:val="24"/>
        </w:rPr>
        <w:t>年</w:t>
      </w:r>
      <w:r>
        <w:rPr>
          <w:rFonts w:hint="eastAsia" w:ascii="宋体" w:hAnsi="宋体"/>
          <w:sz w:val="24"/>
          <w:szCs w:val="24"/>
          <w:u w:val="single"/>
        </w:rPr>
        <w:t xml:space="preserve"> </w:t>
      </w:r>
      <w:r>
        <w:rPr>
          <w:rFonts w:hint="eastAsia" w:ascii="宋体" w:hAnsi="宋体"/>
          <w:sz w:val="24"/>
          <w:szCs w:val="24"/>
          <w:u w:val="single"/>
          <w:lang w:val="en-US" w:eastAsia="zh-CN"/>
        </w:rPr>
        <w:t>11</w:t>
      </w:r>
      <w:r>
        <w:rPr>
          <w:rFonts w:hint="eastAsia" w:ascii="宋体" w:hAnsi="宋体"/>
          <w:sz w:val="24"/>
          <w:szCs w:val="24"/>
        </w:rPr>
        <w:t xml:space="preserve"> </w:t>
      </w:r>
      <w:r>
        <w:rPr>
          <w:rFonts w:ascii="宋体" w:hAnsi="宋体"/>
          <w:bCs/>
          <w:sz w:val="24"/>
          <w:szCs w:val="24"/>
        </w:rPr>
        <w:t>月</w:t>
      </w:r>
      <w:r>
        <w:rPr>
          <w:rFonts w:hint="eastAsia" w:ascii="宋体" w:hAnsi="宋体"/>
          <w:sz w:val="24"/>
          <w:szCs w:val="24"/>
          <w:u w:val="single"/>
          <w:lang w:val="en-US" w:eastAsia="zh-CN"/>
        </w:rPr>
        <w:t>5</w:t>
      </w:r>
      <w:r>
        <w:rPr>
          <w:rFonts w:ascii="宋体" w:hAnsi="宋体"/>
          <w:bCs/>
          <w:sz w:val="24"/>
          <w:szCs w:val="24"/>
        </w:rPr>
        <w:t>日</w:t>
      </w:r>
      <w:r>
        <w:rPr>
          <w:rFonts w:hint="eastAsia" w:ascii="宋体" w:hAnsi="宋体" w:cs="Times New Roman"/>
          <w:sz w:val="24"/>
          <w:szCs w:val="24"/>
          <w:u w:val="single"/>
          <w:lang w:val="en-US" w:eastAsia="zh-CN"/>
        </w:rPr>
        <w:t>16:00</w:t>
      </w:r>
      <w:r>
        <w:rPr>
          <w:rFonts w:hint="eastAsia" w:ascii="宋体" w:hAnsi="宋体"/>
          <w:bCs/>
          <w:sz w:val="24"/>
          <w:szCs w:val="24"/>
        </w:rPr>
        <w:t>；逾期不报名者将不允许参加招标。</w:t>
      </w:r>
    </w:p>
    <w:p>
      <w:pPr>
        <w:spacing w:line="300" w:lineRule="auto"/>
        <w:ind w:firstLine="600"/>
        <w:rPr>
          <w:rFonts w:ascii="宋体" w:hAnsi="宋体"/>
          <w:bCs/>
          <w:sz w:val="24"/>
          <w:szCs w:val="24"/>
        </w:rPr>
      </w:pPr>
      <w:r>
        <w:rPr>
          <w:rFonts w:hint="eastAsia" w:ascii="宋体" w:hAnsi="宋体"/>
          <w:bCs/>
          <w:sz w:val="24"/>
          <w:szCs w:val="24"/>
        </w:rPr>
        <w:t>本项目开标日期定于</w:t>
      </w:r>
      <w:r>
        <w:rPr>
          <w:rFonts w:hint="eastAsia" w:ascii="宋体" w:hAnsi="宋体"/>
          <w:sz w:val="24"/>
          <w:szCs w:val="24"/>
          <w:u w:val="single"/>
          <w:lang w:val="en-US" w:eastAsia="zh-CN"/>
        </w:rPr>
        <w:t>2020</w:t>
      </w:r>
      <w:r>
        <w:rPr>
          <w:rFonts w:ascii="宋体" w:hAnsi="宋体"/>
          <w:bCs/>
          <w:sz w:val="24"/>
          <w:szCs w:val="24"/>
        </w:rPr>
        <w:t>年</w:t>
      </w:r>
      <w:r>
        <w:rPr>
          <w:rFonts w:hint="eastAsia" w:ascii="宋体" w:hAnsi="宋体"/>
          <w:sz w:val="24"/>
          <w:szCs w:val="24"/>
          <w:u w:val="single"/>
        </w:rPr>
        <w:t xml:space="preserve"> </w:t>
      </w:r>
      <w:r>
        <w:rPr>
          <w:rFonts w:hint="eastAsia" w:ascii="宋体" w:hAnsi="宋体"/>
          <w:sz w:val="24"/>
          <w:szCs w:val="24"/>
          <w:u w:val="single"/>
          <w:lang w:val="en-US" w:eastAsia="zh-CN"/>
        </w:rPr>
        <w:t>11</w:t>
      </w:r>
      <w:r>
        <w:rPr>
          <w:rFonts w:hint="eastAsia" w:ascii="宋体" w:hAnsi="宋体"/>
          <w:sz w:val="24"/>
          <w:szCs w:val="24"/>
        </w:rPr>
        <w:t xml:space="preserve"> </w:t>
      </w:r>
      <w:r>
        <w:rPr>
          <w:rFonts w:ascii="宋体" w:hAnsi="宋体"/>
          <w:bCs/>
          <w:sz w:val="24"/>
          <w:szCs w:val="24"/>
        </w:rPr>
        <w:t>月</w:t>
      </w:r>
      <w:r>
        <w:rPr>
          <w:rFonts w:hint="eastAsia" w:ascii="宋体" w:hAnsi="宋体"/>
          <w:sz w:val="24"/>
          <w:szCs w:val="24"/>
          <w:u w:val="single"/>
          <w:lang w:val="en-US" w:eastAsia="zh-CN"/>
        </w:rPr>
        <w:t>9日下</w:t>
      </w:r>
      <w:r>
        <w:rPr>
          <w:rFonts w:hint="eastAsia"/>
          <w:color w:val="2A2A2A"/>
          <w:sz w:val="24"/>
          <w:szCs w:val="24"/>
          <w:shd w:val="clear" w:color="auto" w:fill="FFFFFF"/>
        </w:rPr>
        <w:t>午</w:t>
      </w:r>
      <w:r>
        <w:rPr>
          <w:rFonts w:hint="eastAsia"/>
          <w:color w:val="2A2A2A"/>
          <w:sz w:val="24"/>
          <w:szCs w:val="24"/>
          <w:u w:val="single"/>
          <w:shd w:val="clear" w:color="auto" w:fill="FFFFFF"/>
          <w:lang w:val="en-US" w:eastAsia="zh-CN"/>
        </w:rPr>
        <w:t>13:30</w:t>
      </w:r>
      <w:r>
        <w:rPr>
          <w:rFonts w:hint="eastAsia"/>
          <w:color w:val="2A2A2A"/>
          <w:sz w:val="24"/>
          <w:szCs w:val="24"/>
          <w:shd w:val="clear" w:color="auto" w:fill="FFFFFF"/>
        </w:rPr>
        <w:t xml:space="preserve"> </w:t>
      </w:r>
      <w:r>
        <w:rPr>
          <w:rFonts w:hint="eastAsia" w:ascii="宋体" w:hAnsi="宋体"/>
          <w:bCs/>
          <w:sz w:val="24"/>
          <w:szCs w:val="24"/>
        </w:rPr>
        <w:t xml:space="preserve">，在芜湖新兴铸管有限责任公司三山工业园区招标办会议室 </w:t>
      </w:r>
      <w:r>
        <w:rPr>
          <w:rFonts w:hint="eastAsia" w:ascii="宋体" w:hAnsi="宋体"/>
          <w:bCs/>
          <w:sz w:val="24"/>
          <w:szCs w:val="24"/>
          <w:lang w:val="en-US" w:eastAsia="zh-CN"/>
        </w:rPr>
        <w:t>206</w:t>
      </w:r>
      <w:r>
        <w:rPr>
          <w:rFonts w:ascii="宋体" w:hAnsi="宋体"/>
          <w:bCs/>
          <w:sz w:val="24"/>
          <w:szCs w:val="24"/>
        </w:rPr>
        <w:t>准时举行</w:t>
      </w:r>
      <w:r>
        <w:rPr>
          <w:rFonts w:ascii="宋体" w:hAnsi="宋体"/>
          <w:bCs/>
          <w:color w:val="000000"/>
          <w:sz w:val="24"/>
          <w:szCs w:val="24"/>
        </w:rPr>
        <w:t>。</w:t>
      </w:r>
    </w:p>
    <w:p>
      <w:pPr>
        <w:spacing w:line="300" w:lineRule="auto"/>
        <w:ind w:firstLine="600"/>
        <w:rPr>
          <w:rFonts w:ascii="宋体" w:hAnsi="宋体"/>
          <w:b/>
          <w:color w:val="000000"/>
          <w:sz w:val="24"/>
          <w:szCs w:val="24"/>
        </w:rPr>
      </w:pP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单位地址：芜湖市三山区春洲路2号</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开</w:t>
      </w:r>
      <w:r>
        <w:rPr>
          <w:rFonts w:ascii="宋体" w:hAnsi="宋体"/>
          <w:sz w:val="24"/>
          <w:szCs w:val="24"/>
        </w:rPr>
        <w:t xml:space="preserve"> </w:t>
      </w:r>
      <w:r>
        <w:rPr>
          <w:rFonts w:hint="eastAsia" w:ascii="宋体" w:hAnsi="宋体"/>
          <w:sz w:val="24"/>
          <w:szCs w:val="24"/>
        </w:rPr>
        <w:t>户</w:t>
      </w:r>
      <w:r>
        <w:rPr>
          <w:rFonts w:ascii="宋体" w:hAnsi="宋体"/>
          <w:sz w:val="24"/>
          <w:szCs w:val="24"/>
        </w:rPr>
        <w:t xml:space="preserve"> </w:t>
      </w:r>
      <w:r>
        <w:rPr>
          <w:rFonts w:hint="eastAsia" w:ascii="宋体" w:hAnsi="宋体"/>
          <w:sz w:val="24"/>
          <w:szCs w:val="24"/>
        </w:rPr>
        <w:t>行：工行环办</w:t>
      </w:r>
    </w:p>
    <w:p>
      <w:pPr>
        <w:ind w:firstLine="1680" w:firstLineChars="700"/>
        <w:rPr>
          <w:rFonts w:ascii="宋体" w:hAnsi="宋体"/>
          <w:sz w:val="24"/>
          <w:szCs w:val="24"/>
        </w:rPr>
      </w:pPr>
      <w:r>
        <w:rPr>
          <w:rFonts w:hint="eastAsia" w:ascii="宋体" w:hAnsi="宋体"/>
          <w:sz w:val="24"/>
          <w:szCs w:val="24"/>
        </w:rPr>
        <w:t>帐</w:t>
      </w:r>
      <w:r>
        <w:rPr>
          <w:rFonts w:ascii="宋体" w:hAnsi="宋体"/>
          <w:sz w:val="24"/>
          <w:szCs w:val="24"/>
        </w:rPr>
        <w:t xml:space="preserve">    </w:t>
      </w:r>
      <w:r>
        <w:rPr>
          <w:rFonts w:hint="eastAsia" w:ascii="宋体" w:hAnsi="宋体"/>
          <w:sz w:val="24"/>
          <w:szCs w:val="24"/>
        </w:rPr>
        <w:t>号：1307023219000109264</w:t>
      </w:r>
    </w:p>
    <w:p>
      <w:pPr>
        <w:ind w:firstLine="1680" w:firstLineChars="700"/>
        <w:rPr>
          <w:rFonts w:ascii="宋体" w:hAnsi="宋体"/>
          <w:sz w:val="24"/>
          <w:szCs w:val="24"/>
        </w:rPr>
      </w:pPr>
      <w:r>
        <w:rPr>
          <w:rFonts w:hint="eastAsia" w:ascii="宋体" w:hAnsi="宋体"/>
          <w:sz w:val="24"/>
          <w:szCs w:val="24"/>
        </w:rPr>
        <w:t>电</w:t>
      </w:r>
      <w:r>
        <w:rPr>
          <w:rFonts w:ascii="宋体" w:hAnsi="宋体"/>
          <w:sz w:val="24"/>
          <w:szCs w:val="24"/>
        </w:rPr>
        <w:t xml:space="preserve">    话：0553-</w:t>
      </w:r>
      <w:r>
        <w:rPr>
          <w:rFonts w:hint="eastAsia" w:ascii="宋体" w:hAnsi="宋体" w:cs="Times New Roman"/>
          <w:sz w:val="24"/>
          <w:szCs w:val="24"/>
        </w:rPr>
        <w:t>569856</w:t>
      </w:r>
      <w:r>
        <w:rPr>
          <w:rFonts w:hint="eastAsia" w:ascii="宋体" w:hAnsi="宋体" w:cs="Times New Roman"/>
          <w:sz w:val="24"/>
          <w:szCs w:val="24"/>
          <w:lang w:val="en-US" w:eastAsia="zh-CN"/>
        </w:rPr>
        <w:t>2</w:t>
      </w:r>
      <w:r>
        <w:rPr>
          <w:rFonts w:ascii="宋体" w:hAnsi="宋体" w:cs="Times New Roman"/>
          <w:sz w:val="24"/>
          <w:szCs w:val="24"/>
        </w:rPr>
        <w:t xml:space="preserve"> </w:t>
      </w:r>
      <w:r>
        <w:rPr>
          <w:rFonts w:hint="eastAsia" w:ascii="宋体" w:hAnsi="宋体" w:cs="Times New Roman"/>
          <w:sz w:val="24"/>
          <w:szCs w:val="24"/>
        </w:rPr>
        <w:t xml:space="preserve"> </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邮</w:t>
      </w:r>
      <w:r>
        <w:rPr>
          <w:rFonts w:ascii="宋体" w:hAnsi="宋体"/>
          <w:sz w:val="24"/>
          <w:szCs w:val="24"/>
        </w:rPr>
        <w:t xml:space="preserve">    编：241002                          </w:t>
      </w:r>
    </w:p>
    <w:p>
      <w:pPr>
        <w:snapToGrid w:val="0"/>
        <w:spacing w:line="300" w:lineRule="auto"/>
        <w:rPr>
          <w:rFonts w:ascii="宋体" w:hAnsi="宋体"/>
          <w:sz w:val="24"/>
          <w:szCs w:val="24"/>
        </w:rPr>
      </w:pPr>
      <w:r>
        <w:rPr>
          <w:rFonts w:ascii="宋体" w:hAnsi="宋体"/>
          <w:sz w:val="24"/>
          <w:szCs w:val="24"/>
        </w:rPr>
        <w:t xml:space="preserve">              </w:t>
      </w:r>
      <w:r>
        <w:rPr>
          <w:rFonts w:hint="eastAsia" w:ascii="宋体" w:hAnsi="宋体"/>
          <w:sz w:val="24"/>
          <w:szCs w:val="24"/>
        </w:rPr>
        <w:t>联</w:t>
      </w:r>
      <w:r>
        <w:rPr>
          <w:rFonts w:ascii="宋体" w:hAnsi="宋体"/>
          <w:sz w:val="24"/>
          <w:szCs w:val="24"/>
        </w:rPr>
        <w:t xml:space="preserve"> 系 人：</w:t>
      </w:r>
      <w:r>
        <w:rPr>
          <w:rFonts w:hint="eastAsia" w:ascii="宋体" w:hAnsi="宋体"/>
          <w:sz w:val="24"/>
          <w:szCs w:val="24"/>
          <w:lang w:val="en-US" w:eastAsia="zh-CN"/>
        </w:rPr>
        <w:t>石 宇</w:t>
      </w:r>
      <w:r>
        <w:rPr>
          <w:rFonts w:hint="eastAsia" w:ascii="宋体" w:hAnsi="宋体"/>
          <w:sz w:val="24"/>
          <w:szCs w:val="24"/>
        </w:rPr>
        <w:t xml:space="preserve">           </w:t>
      </w:r>
    </w:p>
    <w:p>
      <w:pPr>
        <w:snapToGrid w:val="0"/>
        <w:spacing w:line="300" w:lineRule="auto"/>
        <w:ind w:firstLine="1680" w:firstLineChars="700"/>
        <w:rPr>
          <w:rFonts w:ascii="宋体" w:hAnsi="宋体"/>
          <w:sz w:val="24"/>
          <w:szCs w:val="24"/>
        </w:rPr>
      </w:pPr>
      <w:r>
        <w:rPr>
          <w:rFonts w:hint="eastAsia" w:ascii="宋体" w:hAnsi="宋体"/>
          <w:sz w:val="24"/>
          <w:szCs w:val="24"/>
        </w:rPr>
        <w:t>邮    箱：</w:t>
      </w:r>
      <w:r>
        <w:rPr>
          <w:rFonts w:hint="eastAsia" w:ascii="宋体" w:hAnsi="宋体"/>
          <w:sz w:val="24"/>
          <w:szCs w:val="24"/>
          <w:lang w:val="en-US" w:eastAsia="zh-CN"/>
        </w:rPr>
        <w:t>15255329626@163.com</w:t>
      </w:r>
      <w:r>
        <w:fldChar w:fldCharType="begin"/>
      </w:r>
      <w:r>
        <w:instrText xml:space="preserve"> HYPERLINK "mailto:tankaihua0324@163.com" </w:instrText>
      </w:r>
      <w:r>
        <w:fldChar w:fldCharType="separate"/>
      </w:r>
      <w:r>
        <w:fldChar w:fldCharType="end"/>
      </w:r>
      <w:r>
        <w:rPr>
          <w:rFonts w:hint="eastAsia" w:ascii="宋体" w:hAnsi="宋体"/>
          <w:sz w:val="24"/>
          <w:szCs w:val="24"/>
        </w:rPr>
        <w:t xml:space="preserve"> </w:t>
      </w: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附件3：授权委托书</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附件4：公平交易承诺函</w:t>
      </w:r>
    </w:p>
    <w:p>
      <w:pPr>
        <w:snapToGrid w:val="0"/>
        <w:spacing w:line="300" w:lineRule="auto"/>
        <w:rPr>
          <w:rFonts w:ascii="宋体" w:hAnsi="宋体"/>
          <w:b/>
          <w:bCs/>
          <w:color w:val="4F81BD"/>
          <w:sz w:val="28"/>
          <w:szCs w:val="28"/>
        </w:rPr>
      </w:pPr>
      <w:r>
        <w:rPr>
          <w:rFonts w:hint="eastAsia" w:ascii="宋体" w:hAnsi="宋体"/>
          <w:b/>
          <w:bCs/>
          <w:color w:val="4F81BD"/>
          <w:sz w:val="28"/>
          <w:szCs w:val="28"/>
        </w:rPr>
        <w:t>附件5：报价表</w:t>
      </w: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Cs/>
          <w:color w:val="0000FF"/>
          <w:sz w:val="24"/>
          <w:szCs w:val="24"/>
          <w:u w:val="single"/>
          <w:lang w:val="en-US" w:eastAsia="zh-CN"/>
        </w:rPr>
        <w:t>贰万</w:t>
      </w:r>
      <w:r>
        <w:rPr>
          <w:rFonts w:hint="eastAsia" w:ascii="宋体" w:hAnsi="宋体"/>
          <w:bCs/>
          <w:color w:val="0000FF"/>
          <w:sz w:val="24"/>
          <w:szCs w:val="24"/>
          <w:u w:val="single"/>
        </w:rPr>
        <w:t>元整（电汇，基本账户汇款）备注：基本账户为开户行账户</w:t>
      </w:r>
      <w:r>
        <w:rPr>
          <w:rFonts w:hint="eastAsia" w:ascii="宋体" w:hAnsi="宋体"/>
          <w:bCs/>
          <w:sz w:val="24"/>
          <w:szCs w:val="24"/>
        </w:rPr>
        <w:t>，投标人需在</w:t>
      </w:r>
      <w:r>
        <w:rPr>
          <w:rFonts w:hint="eastAsia" w:ascii="宋体" w:hAnsi="宋体"/>
          <w:sz w:val="24"/>
          <w:szCs w:val="24"/>
          <w:lang w:val="en-US" w:eastAsia="zh-CN"/>
        </w:rPr>
        <w:t>2020</w:t>
      </w:r>
      <w:r>
        <w:rPr>
          <w:rFonts w:hint="eastAsia" w:ascii="宋体" w:hAnsi="宋体"/>
          <w:bCs/>
          <w:color w:val="7030A0"/>
          <w:sz w:val="24"/>
          <w:szCs w:val="24"/>
        </w:rPr>
        <w:t>年</w:t>
      </w:r>
      <w:r>
        <w:rPr>
          <w:rFonts w:hint="eastAsia" w:ascii="宋体" w:hAnsi="宋体"/>
          <w:sz w:val="24"/>
          <w:szCs w:val="24"/>
        </w:rPr>
        <w:t xml:space="preserve"> </w:t>
      </w:r>
      <w:r>
        <w:rPr>
          <w:rFonts w:hint="eastAsia" w:ascii="宋体" w:hAnsi="宋体"/>
          <w:sz w:val="24"/>
          <w:szCs w:val="24"/>
          <w:lang w:val="en-US" w:eastAsia="zh-CN"/>
        </w:rPr>
        <w:t>11</w:t>
      </w:r>
      <w:r>
        <w:rPr>
          <w:rFonts w:hint="eastAsia" w:ascii="宋体" w:hAnsi="宋体"/>
          <w:bCs/>
          <w:color w:val="7030A0"/>
          <w:sz w:val="24"/>
          <w:szCs w:val="24"/>
        </w:rPr>
        <w:t>月</w:t>
      </w:r>
      <w:r>
        <w:rPr>
          <w:rFonts w:hint="eastAsia" w:ascii="宋体" w:hAnsi="宋体"/>
          <w:sz w:val="24"/>
          <w:szCs w:val="24"/>
          <w:lang w:val="en-US" w:eastAsia="zh-CN"/>
        </w:rPr>
        <w:t>5</w:t>
      </w:r>
      <w:r>
        <w:rPr>
          <w:rFonts w:hint="eastAsia" w:ascii="宋体" w:hAnsi="宋体"/>
          <w:bCs/>
          <w:color w:val="7030A0"/>
          <w:sz w:val="24"/>
          <w:szCs w:val="24"/>
        </w:rPr>
        <w:t>日</w:t>
      </w:r>
      <w:r>
        <w:rPr>
          <w:rFonts w:hint="eastAsia" w:ascii="宋体" w:hAnsi="宋体"/>
          <w:sz w:val="24"/>
          <w:szCs w:val="24"/>
          <w:lang w:val="en-US" w:eastAsia="zh-CN"/>
        </w:rPr>
        <w:t>16</w:t>
      </w:r>
      <w:r>
        <w:rPr>
          <w:rFonts w:hint="eastAsia" w:ascii="宋体" w:hAnsi="宋体"/>
          <w:bCs/>
          <w:color w:val="7030A0"/>
          <w:sz w:val="24"/>
          <w:szCs w:val="24"/>
        </w:rPr>
        <w:t>点前</w:t>
      </w:r>
      <w:r>
        <w:rPr>
          <w:rFonts w:hint="eastAsia" w:ascii="宋体" w:hAnsi="宋体"/>
          <w:bCs/>
          <w:sz w:val="24"/>
          <w:szCs w:val="24"/>
        </w:rPr>
        <w:t>缴纳此费用（否则视为自动放弃投标资格），注明投标保证金。如未中标，发包人将会无息退还此费用(60日内)，如中标，则在履约保证金足额缴纳后退还。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行：工商银行环城路支行（工行环办）</w:t>
      </w:r>
    </w:p>
    <w:p>
      <w:pPr>
        <w:spacing w:line="300" w:lineRule="auto"/>
        <w:ind w:firstLine="1653" w:firstLineChars="689"/>
        <w:rPr>
          <w:rFonts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bookmarkStart w:id="3" w:name="_GoBack"/>
      <w:r>
        <w:rPr>
          <w:rFonts w:hint="eastAsia" w:ascii="宋体" w:hAnsi="宋体"/>
          <w:sz w:val="24"/>
          <w:szCs w:val="24"/>
        </w:rPr>
        <w:t>具有独立订立合同的权利。</w:t>
      </w:r>
    </w:p>
    <w:p>
      <w:pPr>
        <w:numPr>
          <w:ilvl w:val="0"/>
          <w:numId w:val="3"/>
        </w:numPr>
        <w:spacing w:line="300" w:lineRule="auto"/>
        <w:jc w:val="left"/>
        <w:rPr>
          <w:rFonts w:ascii="宋体" w:hAnsi="宋体"/>
          <w:sz w:val="24"/>
          <w:szCs w:val="24"/>
        </w:rPr>
      </w:pPr>
      <w:r>
        <w:rPr>
          <w:rFonts w:hint="eastAsia" w:ascii="宋体" w:hAnsi="宋体"/>
          <w:sz w:val="24"/>
          <w:szCs w:val="24"/>
        </w:rPr>
        <w:t>在专业技术、设备设施、人员组成等方面具有设计、制造、质量控制、经营管理的相应的资格和能力。</w:t>
      </w:r>
    </w:p>
    <w:p>
      <w:pPr>
        <w:numPr>
          <w:numId w:val="0"/>
        </w:numPr>
        <w:spacing w:line="300" w:lineRule="auto"/>
        <w:ind w:left="420" w:leftChars="0"/>
        <w:rPr>
          <w:rFonts w:ascii="宋体" w:hAnsi="宋体"/>
          <w:color w:val="FF0000"/>
          <w:sz w:val="24"/>
          <w:szCs w:val="24"/>
        </w:rPr>
      </w:pPr>
      <w:r>
        <w:rPr>
          <w:rFonts w:hint="eastAsia" w:ascii="宋体" w:hAnsi="宋体"/>
          <w:color w:val="000000"/>
          <w:sz w:val="24"/>
          <w:szCs w:val="24"/>
          <w:lang w:eastAsia="zh-CN"/>
        </w:rPr>
        <w:t>（</w:t>
      </w:r>
      <w:r>
        <w:rPr>
          <w:rFonts w:hint="eastAsia" w:ascii="宋体" w:hAnsi="宋体"/>
          <w:color w:val="000000"/>
          <w:sz w:val="24"/>
          <w:szCs w:val="24"/>
          <w:lang w:val="en-US" w:eastAsia="zh-CN"/>
        </w:rPr>
        <w:t>3</w:t>
      </w:r>
      <w:r>
        <w:rPr>
          <w:rFonts w:hint="eastAsia" w:ascii="宋体" w:hAnsi="宋体"/>
          <w:color w:val="000000"/>
          <w:sz w:val="24"/>
          <w:szCs w:val="24"/>
          <w:lang w:eastAsia="zh-CN"/>
        </w:rPr>
        <w:t>）</w:t>
      </w:r>
      <w:r>
        <w:rPr>
          <w:rFonts w:hint="eastAsia" w:ascii="宋体" w:hAnsi="宋体"/>
          <w:color w:val="000000"/>
          <w:sz w:val="24"/>
          <w:szCs w:val="24"/>
        </w:rPr>
        <w:t>必须</w:t>
      </w:r>
      <w:r>
        <w:rPr>
          <w:rFonts w:hint="eastAsia" w:ascii="宋体" w:hAnsi="宋体"/>
          <w:sz w:val="24"/>
          <w:szCs w:val="24"/>
        </w:rPr>
        <w:t>有加工能力</w:t>
      </w:r>
      <w:r>
        <w:rPr>
          <w:rFonts w:hint="eastAsia" w:ascii="宋体" w:hAnsi="宋体"/>
          <w:sz w:val="24"/>
          <w:szCs w:val="24"/>
          <w:lang w:val="en-US" w:eastAsia="zh-CN"/>
        </w:rPr>
        <w:t>或</w:t>
      </w:r>
      <w:r>
        <w:rPr>
          <w:rFonts w:hint="eastAsia" w:ascii="宋体" w:hAnsi="宋体"/>
          <w:sz w:val="24"/>
          <w:szCs w:val="24"/>
        </w:rPr>
        <w:t>一定垫资能力。</w:t>
      </w:r>
    </w:p>
    <w:p>
      <w:pPr>
        <w:numPr>
          <w:numId w:val="0"/>
        </w:numPr>
        <w:spacing w:line="300" w:lineRule="auto"/>
        <w:ind w:left="420" w:leftChars="0"/>
        <w:rPr>
          <w:rFonts w:ascii="宋体" w:hAnsi="宋体"/>
          <w:sz w:val="24"/>
          <w:szCs w:val="24"/>
        </w:rPr>
      </w:pPr>
      <w:r>
        <w:rPr>
          <w:rFonts w:hint="eastAsia" w:ascii="宋体" w:hAnsi="宋体"/>
          <w:sz w:val="24"/>
          <w:szCs w:val="24"/>
          <w:lang w:eastAsia="zh-CN"/>
        </w:rPr>
        <w:t>（</w:t>
      </w:r>
      <w:r>
        <w:rPr>
          <w:rFonts w:hint="eastAsia" w:ascii="宋体" w:hAnsi="宋体"/>
          <w:sz w:val="24"/>
          <w:szCs w:val="24"/>
          <w:lang w:val="en-US" w:eastAsia="zh-CN"/>
        </w:rPr>
        <w:t>4</w:t>
      </w:r>
      <w:r>
        <w:rPr>
          <w:rFonts w:hint="eastAsia" w:ascii="宋体" w:hAnsi="宋体"/>
          <w:sz w:val="24"/>
          <w:szCs w:val="24"/>
          <w:lang w:eastAsia="zh-CN"/>
        </w:rPr>
        <w:t>）</w:t>
      </w:r>
      <w:r>
        <w:rPr>
          <w:rFonts w:hint="eastAsia" w:ascii="宋体" w:hAnsi="宋体"/>
          <w:sz w:val="24"/>
          <w:szCs w:val="24"/>
        </w:rPr>
        <w:t>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r>
        <w:rPr>
          <w:rFonts w:hint="eastAsia" w:ascii="宋体" w:hAnsi="宋体"/>
          <w:sz w:val="24"/>
          <w:szCs w:val="24"/>
        </w:rPr>
        <w:t>。</w:t>
      </w:r>
    </w:p>
    <w:bookmarkEnd w:id="3"/>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rPr>
          <w:rFonts w:ascii="宋体" w:hAnsi="宋体"/>
          <w:b/>
          <w:sz w:val="24"/>
          <w:szCs w:val="24"/>
        </w:rPr>
      </w:pPr>
      <w:r>
        <w:rPr>
          <w:rFonts w:hint="eastAsia" w:ascii="宋体" w:hAnsi="宋体"/>
          <w:b/>
          <w:sz w:val="24"/>
          <w:szCs w:val="24"/>
        </w:rPr>
        <w:t>九、投标报价</w:t>
      </w:r>
    </w:p>
    <w:p>
      <w:pPr>
        <w:pStyle w:val="2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0"/>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firstLine="480" w:firstLineChars="200"/>
        <w:rPr>
          <w:rFonts w:ascii="宋体" w:hAnsi="宋体"/>
          <w:sz w:val="24"/>
          <w:szCs w:val="24"/>
        </w:rPr>
      </w:pPr>
      <w:r>
        <w:rPr>
          <w:rFonts w:hint="eastAsia" w:ascii="宋体" w:hAnsi="宋体"/>
          <w:sz w:val="24"/>
          <w:szCs w:val="24"/>
        </w:rPr>
        <w:t>1、付款方式：承兑结算。</w:t>
      </w:r>
    </w:p>
    <w:p>
      <w:pPr>
        <w:spacing w:line="440" w:lineRule="exact"/>
        <w:ind w:firstLine="480" w:firstLineChars="200"/>
        <w:rPr>
          <w:rFonts w:ascii="宋体" w:hAnsi="宋体"/>
          <w:sz w:val="24"/>
          <w:szCs w:val="24"/>
        </w:rPr>
      </w:pPr>
      <w:r>
        <w:rPr>
          <w:rFonts w:hint="eastAsia" w:ascii="宋体" w:hAnsi="宋体"/>
          <w:sz w:val="24"/>
          <w:szCs w:val="24"/>
        </w:rPr>
        <w:t>2、交货地点：芜湖新兴铸管有限责任公司三山区现场。</w:t>
      </w: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4"/>
          <w:szCs w:val="24"/>
        </w:rPr>
      </w:pPr>
      <w:r>
        <w:rPr>
          <w:rFonts w:hint="eastAsia" w:ascii="宋体" w:hAnsi="宋体"/>
          <w:sz w:val="24"/>
          <w:szCs w:val="24"/>
        </w:rPr>
        <w:t>本次招标采取综合评分的方式进行评标。</w:t>
      </w:r>
    </w:p>
    <w:p>
      <w:pPr>
        <w:ind w:left="420" w:leftChars="200" w:firstLine="723" w:firstLineChars="300"/>
        <w:rPr>
          <w:rFonts w:hint="eastAsia" w:ascii="宋体" w:hAnsi="宋体"/>
          <w:color w:val="FF0000"/>
          <w:sz w:val="28"/>
          <w:szCs w:val="28"/>
        </w:rPr>
      </w:pPr>
      <w:r>
        <w:rPr>
          <w:rFonts w:hint="eastAsia"/>
          <w:b/>
          <w:sz w:val="24"/>
          <w:szCs w:val="24"/>
        </w:rPr>
        <w:t>评分标准：</w:t>
      </w:r>
      <w:r>
        <w:rPr>
          <w:rFonts w:hint="eastAsia" w:ascii="宋体" w:hAnsi="宋体"/>
          <w:sz w:val="24"/>
          <w:szCs w:val="24"/>
        </w:rPr>
        <w:t>由评标委员会按</w:t>
      </w:r>
      <w:r>
        <w:rPr>
          <w:rFonts w:hint="eastAsia" w:ascii="宋体" w:hAnsi="宋体"/>
          <w:sz w:val="24"/>
          <w:szCs w:val="24"/>
          <w:lang w:val="en-US" w:eastAsia="zh-CN"/>
        </w:rPr>
        <w:t>B</w:t>
      </w:r>
      <w:r>
        <w:rPr>
          <w:rFonts w:hint="eastAsia" w:ascii="宋体" w:hAnsi="宋体"/>
          <w:sz w:val="24"/>
          <w:szCs w:val="24"/>
        </w:rPr>
        <w:t>类物资进行评分，按分数从高到低顺序进行推荐中标候选人。其中价格：</w:t>
      </w:r>
      <w:r>
        <w:rPr>
          <w:rFonts w:hint="eastAsia" w:ascii="宋体" w:hAnsi="宋体"/>
          <w:sz w:val="24"/>
          <w:szCs w:val="24"/>
          <w:lang w:val="en-US" w:eastAsia="zh-CN"/>
        </w:rPr>
        <w:t>4</w:t>
      </w:r>
      <w:r>
        <w:rPr>
          <w:rFonts w:hint="eastAsia" w:ascii="宋体" w:hAnsi="宋体"/>
          <w:sz w:val="24"/>
          <w:szCs w:val="24"/>
        </w:rPr>
        <w:t>0分,质量：</w:t>
      </w:r>
      <w:r>
        <w:rPr>
          <w:rFonts w:hint="eastAsia" w:ascii="宋体" w:hAnsi="宋体"/>
          <w:sz w:val="24"/>
          <w:szCs w:val="24"/>
          <w:lang w:val="en-US" w:eastAsia="zh-CN"/>
        </w:rPr>
        <w:t>4</w:t>
      </w:r>
      <w:r>
        <w:rPr>
          <w:rFonts w:hint="eastAsia" w:ascii="宋体" w:hAnsi="宋体"/>
          <w:sz w:val="24"/>
          <w:szCs w:val="24"/>
        </w:rPr>
        <w:t>0分,资质、装备及工艺技术水平、业绩状况：10分,服务、工期及资金状况：10分。</w:t>
      </w:r>
    </w:p>
    <w:p>
      <w:pPr>
        <w:rPr>
          <w:b/>
        </w:rPr>
      </w:pPr>
    </w:p>
    <w:p>
      <w:pPr>
        <w:numPr>
          <w:ilvl w:val="0"/>
          <w:numId w:val="7"/>
        </w:numPr>
        <w:rPr>
          <w:b/>
          <w:sz w:val="24"/>
          <w:szCs w:val="24"/>
        </w:rPr>
      </w:pPr>
      <w:r>
        <w:rPr>
          <w:rFonts w:hint="eastAsia"/>
          <w:b/>
          <w:sz w:val="24"/>
          <w:szCs w:val="24"/>
        </w:rPr>
        <w:t>其他要求</w:t>
      </w:r>
    </w:p>
    <w:p>
      <w:pPr>
        <w:numPr>
          <w:ilvl w:val="0"/>
          <w:numId w:val="8"/>
        </w:numPr>
        <w:spacing w:line="360" w:lineRule="auto"/>
        <w:ind w:firstLine="482" w:firstLineChars="200"/>
        <w:rPr>
          <w:rFonts w:hint="eastAsia" w:ascii="宋体" w:hAnsi="宋体"/>
          <w:b/>
          <w:color w:val="FF0000"/>
          <w:sz w:val="24"/>
          <w:szCs w:val="24"/>
          <w:lang w:val="en-US" w:eastAsia="zh-CN"/>
        </w:rPr>
      </w:pPr>
      <w:r>
        <w:rPr>
          <w:rFonts w:hint="eastAsia" w:ascii="宋体" w:hAnsi="宋体"/>
          <w:b/>
          <w:color w:val="FF0000"/>
          <w:sz w:val="24"/>
          <w:szCs w:val="24"/>
          <w:lang w:val="en-US" w:eastAsia="zh-CN"/>
        </w:rPr>
        <w:t>本项目炼铁部大烟道耐磨内衬更换约1400平米；结算以实际更换面积结算，耐磨料理化指标、施工要求、验收要求、质保期详见技术协议。</w:t>
      </w:r>
    </w:p>
    <w:p>
      <w:pPr>
        <w:numPr>
          <w:ilvl w:val="0"/>
          <w:numId w:val="8"/>
        </w:numPr>
        <w:spacing w:line="360" w:lineRule="auto"/>
        <w:ind w:firstLine="482" w:firstLineChars="200"/>
        <w:rPr>
          <w:rFonts w:hint="eastAsia" w:ascii="宋体" w:hAnsi="宋体"/>
          <w:b/>
          <w:color w:val="FF0000"/>
          <w:sz w:val="24"/>
          <w:szCs w:val="24"/>
          <w:lang w:val="en-US" w:eastAsia="zh-CN"/>
        </w:rPr>
      </w:pPr>
      <w:r>
        <w:rPr>
          <w:rFonts w:hint="eastAsia" w:ascii="宋体" w:hAnsi="宋体"/>
          <w:b/>
          <w:color w:val="FF0000"/>
          <w:sz w:val="24"/>
          <w:szCs w:val="24"/>
          <w:lang w:val="en-US" w:eastAsia="zh-CN"/>
        </w:rPr>
        <w:t>本次招标为包工包料形式，供应单位负责施工。</w:t>
      </w:r>
    </w:p>
    <w:p>
      <w:pPr>
        <w:numPr>
          <w:ilvl w:val="0"/>
          <w:numId w:val="8"/>
        </w:numPr>
        <w:spacing w:line="360" w:lineRule="auto"/>
        <w:ind w:firstLine="482" w:firstLineChars="200"/>
        <w:rPr>
          <w:rFonts w:hint="eastAsia" w:ascii="宋体" w:hAnsi="宋体"/>
          <w:b/>
          <w:color w:val="FF0000"/>
          <w:sz w:val="24"/>
          <w:szCs w:val="24"/>
          <w:lang w:val="en-US" w:eastAsia="zh-CN"/>
        </w:rPr>
      </w:pPr>
      <w:r>
        <w:rPr>
          <w:rFonts w:hint="eastAsia" w:ascii="宋体" w:hAnsi="宋体"/>
          <w:b/>
          <w:color w:val="FF0000"/>
          <w:sz w:val="24"/>
          <w:szCs w:val="24"/>
          <w:lang w:eastAsia="zh-CN"/>
        </w:rPr>
        <w:t>安全保障金：中标单位入厂施工前需向招标方缴纳60万元安全保障金，施工结束，无安全事故退回。</w:t>
      </w:r>
    </w:p>
    <w:p>
      <w:pPr>
        <w:numPr>
          <w:ilvl w:val="0"/>
          <w:numId w:val="8"/>
        </w:numPr>
        <w:spacing w:line="360" w:lineRule="auto"/>
        <w:ind w:left="0" w:leftChars="0" w:firstLine="482" w:firstLineChars="200"/>
        <w:rPr>
          <w:rFonts w:hint="eastAsia" w:ascii="宋体" w:hAnsi="宋体"/>
          <w:b/>
          <w:color w:val="FF0000"/>
          <w:sz w:val="24"/>
          <w:szCs w:val="24"/>
          <w:lang w:eastAsia="zh-CN"/>
        </w:rPr>
      </w:pPr>
      <w:r>
        <w:rPr>
          <w:rFonts w:hint="eastAsia" w:ascii="宋体" w:hAnsi="宋体"/>
          <w:b/>
          <w:color w:val="FF0000"/>
          <w:sz w:val="24"/>
          <w:szCs w:val="24"/>
        </w:rPr>
        <w:t>本次招标项目</w:t>
      </w:r>
      <w:r>
        <w:rPr>
          <w:rFonts w:hint="eastAsia" w:ascii="宋体" w:hAnsi="宋体"/>
          <w:b/>
          <w:color w:val="FF0000"/>
          <w:sz w:val="24"/>
          <w:szCs w:val="24"/>
          <w:lang w:val="en-US" w:eastAsia="zh-CN"/>
        </w:rPr>
        <w:t>炼铁部大烟道耐磨内衬更换</w:t>
      </w:r>
      <w:r>
        <w:rPr>
          <w:rFonts w:hint="eastAsia" w:ascii="宋体" w:hAnsi="宋体"/>
          <w:b/>
          <w:color w:val="FF0000"/>
          <w:sz w:val="24"/>
          <w:szCs w:val="24"/>
        </w:rPr>
        <w:t>最高投标限价</w:t>
      </w:r>
      <w:r>
        <w:rPr>
          <w:rFonts w:hint="eastAsia" w:ascii="宋体" w:hAnsi="宋体"/>
          <w:b/>
          <w:color w:val="FF0000"/>
          <w:sz w:val="24"/>
          <w:szCs w:val="24"/>
          <w:lang w:val="en-US" w:eastAsia="zh-CN"/>
        </w:rPr>
        <w:t>710</w:t>
      </w:r>
      <w:r>
        <w:rPr>
          <w:rFonts w:hint="eastAsia" w:ascii="宋体" w:hAnsi="宋体"/>
          <w:b/>
          <w:color w:val="FF0000"/>
          <w:sz w:val="24"/>
          <w:szCs w:val="24"/>
        </w:rPr>
        <w:t>元</w:t>
      </w:r>
      <w:r>
        <w:rPr>
          <w:rFonts w:hint="eastAsia" w:ascii="宋体" w:hAnsi="宋体"/>
          <w:b/>
          <w:color w:val="FF0000"/>
          <w:sz w:val="24"/>
          <w:szCs w:val="24"/>
          <w:lang w:val="en-US" w:eastAsia="zh-CN"/>
        </w:rPr>
        <w:t>/㎡</w:t>
      </w:r>
      <w:r>
        <w:rPr>
          <w:rFonts w:hint="eastAsia" w:ascii="宋体" w:hAnsi="宋体"/>
          <w:b/>
          <w:color w:val="FF0000"/>
          <w:sz w:val="24"/>
          <w:szCs w:val="24"/>
        </w:rPr>
        <w:t>（大写：</w:t>
      </w:r>
      <w:r>
        <w:rPr>
          <w:rFonts w:hint="eastAsia" w:ascii="宋体" w:hAnsi="宋体"/>
          <w:b/>
          <w:color w:val="FF0000"/>
          <w:sz w:val="24"/>
          <w:szCs w:val="24"/>
          <w:lang w:val="en-US" w:eastAsia="zh-CN"/>
        </w:rPr>
        <w:t>柒佰壹拾元每平方米</w:t>
      </w:r>
      <w:r>
        <w:rPr>
          <w:rFonts w:hint="eastAsia" w:ascii="宋体" w:hAnsi="宋体"/>
          <w:b/>
          <w:color w:val="FF0000"/>
          <w:sz w:val="24"/>
          <w:szCs w:val="24"/>
        </w:rPr>
        <w:t>）</w:t>
      </w:r>
      <w:r>
        <w:rPr>
          <w:rFonts w:hint="eastAsia" w:ascii="宋体" w:hAnsi="宋体"/>
          <w:b/>
          <w:color w:val="FF0000"/>
          <w:sz w:val="24"/>
          <w:szCs w:val="24"/>
          <w:lang w:eastAsia="zh-CN"/>
        </w:rPr>
        <w:t>；</w:t>
      </w:r>
      <w:r>
        <w:rPr>
          <w:rFonts w:hint="eastAsia" w:ascii="宋体" w:hAnsi="宋体"/>
          <w:b/>
          <w:color w:val="FF0000"/>
          <w:sz w:val="24"/>
          <w:szCs w:val="24"/>
        </w:rPr>
        <w:t>报价高于此最高投标限价的作废标处理。</w:t>
      </w:r>
    </w:p>
    <w:p>
      <w:pPr>
        <w:widowControl w:val="0"/>
        <w:numPr>
          <w:ilvl w:val="0"/>
          <w:numId w:val="0"/>
        </w:numPr>
        <w:spacing w:line="360" w:lineRule="auto"/>
        <w:jc w:val="both"/>
        <w:rPr>
          <w:rFonts w:hint="eastAsia" w:ascii="宋体" w:hAnsi="宋体"/>
          <w:b/>
          <w:color w:val="FF0000"/>
          <w:sz w:val="24"/>
          <w:szCs w:val="24"/>
        </w:rPr>
      </w:pPr>
    </w:p>
    <w:p>
      <w:pPr>
        <w:widowControl w:val="0"/>
        <w:numPr>
          <w:ilvl w:val="0"/>
          <w:numId w:val="0"/>
        </w:numPr>
        <w:spacing w:line="360" w:lineRule="auto"/>
        <w:jc w:val="both"/>
        <w:rPr>
          <w:rFonts w:hint="eastAsia" w:ascii="宋体" w:hAnsi="宋体"/>
          <w:b/>
          <w:color w:val="FF0000"/>
          <w:sz w:val="24"/>
          <w:szCs w:val="24"/>
        </w:rPr>
      </w:pPr>
    </w:p>
    <w:p>
      <w:pPr>
        <w:widowControl w:val="0"/>
        <w:numPr>
          <w:ilvl w:val="0"/>
          <w:numId w:val="0"/>
        </w:numPr>
        <w:spacing w:line="360" w:lineRule="auto"/>
        <w:jc w:val="both"/>
        <w:rPr>
          <w:rFonts w:hint="eastAsia" w:ascii="宋体" w:hAnsi="宋体"/>
          <w:b/>
          <w:color w:val="FF0000"/>
          <w:sz w:val="24"/>
          <w:szCs w:val="24"/>
        </w:rPr>
      </w:pPr>
    </w:p>
    <w:p>
      <w:pPr>
        <w:widowControl w:val="0"/>
        <w:numPr>
          <w:ilvl w:val="0"/>
          <w:numId w:val="0"/>
        </w:numPr>
        <w:spacing w:line="360" w:lineRule="auto"/>
        <w:jc w:val="both"/>
        <w:rPr>
          <w:rFonts w:hint="eastAsia" w:ascii="宋体" w:hAnsi="宋体"/>
          <w:b/>
          <w:color w:val="FF0000"/>
          <w:sz w:val="24"/>
          <w:szCs w:val="24"/>
        </w:rPr>
      </w:pPr>
    </w:p>
    <w:p>
      <w:pPr>
        <w:widowControl w:val="0"/>
        <w:numPr>
          <w:ilvl w:val="0"/>
          <w:numId w:val="0"/>
        </w:numPr>
        <w:spacing w:line="360" w:lineRule="auto"/>
        <w:jc w:val="both"/>
        <w:rPr>
          <w:rFonts w:hint="eastAsia" w:ascii="宋体" w:hAnsi="宋体"/>
          <w:b/>
          <w:color w:val="FF0000"/>
          <w:sz w:val="24"/>
          <w:szCs w:val="24"/>
        </w:rPr>
      </w:pPr>
    </w:p>
    <w:p>
      <w:pPr>
        <w:rPr>
          <w:b/>
          <w:sz w:val="24"/>
          <w:szCs w:val="24"/>
        </w:rPr>
      </w:pPr>
    </w:p>
    <w:p>
      <w:pPr>
        <w:jc w:val="right"/>
        <w:rPr>
          <w:b/>
          <w:sz w:val="24"/>
          <w:szCs w:val="24"/>
        </w:rPr>
      </w:pPr>
    </w:p>
    <w:p>
      <w:pPr>
        <w:jc w:val="right"/>
        <w:rPr>
          <w:b/>
          <w:sz w:val="24"/>
          <w:szCs w:val="24"/>
        </w:rPr>
      </w:pPr>
    </w:p>
    <w:p>
      <w:pPr>
        <w:jc w:val="right"/>
        <w:rPr>
          <w:b/>
          <w:sz w:val="24"/>
          <w:szCs w:val="24"/>
        </w:rPr>
      </w:pPr>
    </w:p>
    <w:p>
      <w:pPr>
        <w:jc w:val="right"/>
        <w:rPr>
          <w:b/>
          <w:sz w:val="24"/>
          <w:szCs w:val="24"/>
        </w:rPr>
      </w:pPr>
    </w:p>
    <w:p>
      <w:pPr>
        <w:jc w:val="right"/>
        <w:rPr>
          <w:b/>
          <w:sz w:val="24"/>
          <w:szCs w:val="24"/>
        </w:rPr>
      </w:pPr>
    </w:p>
    <w:p>
      <w:pPr>
        <w:jc w:val="right"/>
        <w:rPr>
          <w:b/>
          <w:sz w:val="24"/>
          <w:szCs w:val="24"/>
        </w:rPr>
      </w:pPr>
    </w:p>
    <w:p>
      <w:pPr>
        <w:jc w:val="right"/>
        <w:rPr>
          <w:b/>
          <w:sz w:val="24"/>
          <w:szCs w:val="24"/>
        </w:rPr>
      </w:pPr>
      <w:r>
        <w:rPr>
          <w:b/>
          <w:sz w:val="24"/>
          <w:szCs w:val="24"/>
        </w:rPr>
        <w:br w:type="textWrapping"/>
      </w:r>
    </w:p>
    <w:p>
      <w:pPr>
        <w:jc w:val="right"/>
        <w:rPr>
          <w:b/>
          <w:sz w:val="24"/>
          <w:szCs w:val="24"/>
        </w:rPr>
      </w:pPr>
    </w:p>
    <w:p>
      <w:pPr>
        <w:jc w:val="right"/>
        <w:rPr>
          <w:b/>
          <w:sz w:val="24"/>
          <w:szCs w:val="24"/>
        </w:rPr>
      </w:pPr>
    </w:p>
    <w:p>
      <w:pPr>
        <w:jc w:val="right"/>
        <w:rPr>
          <w:b/>
          <w:sz w:val="24"/>
          <w:szCs w:val="24"/>
        </w:rPr>
      </w:pPr>
    </w:p>
    <w:p>
      <w:pPr>
        <w:jc w:val="right"/>
        <w:rPr>
          <w:b/>
          <w:sz w:val="24"/>
          <w:szCs w:val="24"/>
        </w:rPr>
      </w:pPr>
    </w:p>
    <w:p>
      <w:pPr>
        <w:jc w:val="right"/>
        <w:rPr>
          <w:b/>
          <w:sz w:val="24"/>
          <w:szCs w:val="24"/>
        </w:rPr>
      </w:pPr>
    </w:p>
    <w:p>
      <w:pPr>
        <w:jc w:val="both"/>
        <w:rPr>
          <w:b/>
          <w:sz w:val="24"/>
          <w:szCs w:val="24"/>
        </w:rPr>
      </w:pPr>
    </w:p>
    <w:p>
      <w:pPr>
        <w:jc w:val="right"/>
        <w:rPr>
          <w:b/>
          <w:sz w:val="24"/>
          <w:szCs w:val="24"/>
        </w:rPr>
      </w:pPr>
      <w:r>
        <w:rPr>
          <w:rFonts w:hint="eastAsia"/>
          <w:b/>
          <w:sz w:val="24"/>
          <w:szCs w:val="24"/>
        </w:rPr>
        <w:t>芜湖新兴铸管有限责任公司</w:t>
      </w:r>
    </w:p>
    <w:p>
      <w:pPr>
        <w:tabs>
          <w:tab w:val="left" w:pos="420"/>
          <w:tab w:val="left" w:pos="630"/>
        </w:tabs>
        <w:spacing w:line="300" w:lineRule="auto"/>
        <w:ind w:firstLine="120" w:firstLineChars="50"/>
        <w:jc w:val="center"/>
        <w:rPr>
          <w:rFonts w:ascii="宋体" w:hAnsi="宋体" w:cs="宋体"/>
          <w:b/>
          <w:bCs/>
          <w:sz w:val="28"/>
          <w:szCs w:val="28"/>
          <w:highlight w:val="yellow"/>
        </w:rPr>
      </w:pPr>
      <w:r>
        <w:rPr>
          <w:rFonts w:hint="eastAsia" w:ascii="宋体" w:hAnsi="宋体"/>
          <w:sz w:val="24"/>
          <w:szCs w:val="24"/>
        </w:rPr>
        <w:t xml:space="preserve">                                                     </w:t>
      </w:r>
      <w:r>
        <w:rPr>
          <w:rFonts w:hint="eastAsia" w:ascii="宋体" w:hAnsi="宋体"/>
          <w:sz w:val="24"/>
          <w:szCs w:val="24"/>
          <w:lang w:val="en-US" w:eastAsia="zh-CN"/>
        </w:rPr>
        <w:t>2020</w:t>
      </w:r>
      <w:r>
        <w:rPr>
          <w:rFonts w:ascii="宋体" w:hAnsi="宋体"/>
          <w:sz w:val="24"/>
          <w:szCs w:val="24"/>
        </w:rPr>
        <w:t>年</w:t>
      </w:r>
      <w:r>
        <w:rPr>
          <w:rFonts w:hint="eastAsia" w:ascii="宋体" w:hAnsi="宋体"/>
          <w:sz w:val="24"/>
          <w:szCs w:val="24"/>
          <w:lang w:val="en-US" w:eastAsia="zh-CN"/>
        </w:rPr>
        <w:t>10</w:t>
      </w:r>
      <w:r>
        <w:rPr>
          <w:rFonts w:ascii="宋体" w:hAnsi="宋体"/>
          <w:sz w:val="24"/>
          <w:szCs w:val="24"/>
        </w:rPr>
        <w:t>月</w:t>
      </w:r>
      <w:r>
        <w:rPr>
          <w:rFonts w:hint="eastAsia" w:ascii="宋体" w:hAnsi="宋体"/>
          <w:sz w:val="24"/>
          <w:szCs w:val="24"/>
          <w:lang w:val="en-US" w:eastAsia="zh-CN"/>
        </w:rPr>
        <w:t>29</w:t>
      </w:r>
      <w:r>
        <w:rPr>
          <w:rFonts w:hint="eastAsia" w:ascii="宋体" w:hAnsi="宋体"/>
          <w:sz w:val="24"/>
          <w:szCs w:val="24"/>
        </w:rPr>
        <w:t>日</w:t>
      </w:r>
      <w:r>
        <w:rPr>
          <w:b/>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-32385</wp:posOffset>
                </wp:positionV>
                <wp:extent cx="1028700" cy="891540"/>
                <wp:effectExtent l="0" t="0" r="0" b="3810"/>
                <wp:wrapNone/>
                <wp:docPr id="3" name="文本框 2"/>
                <wp:cNvGraphicFramePr/>
                <a:graphic xmlns:a="http://schemas.openxmlformats.org/drawingml/2006/main">
                  <a:graphicData uri="http://schemas.microsoft.com/office/word/2010/wordprocessingShape">
                    <wps:wsp>
                      <wps:cNvSpPr txBox="1"/>
                      <wps:spPr>
                        <a:xfrm>
                          <a:off x="0" y="0"/>
                          <a:ext cx="1028700" cy="891540"/>
                        </a:xfrm>
                        <a:prstGeom prst="rect">
                          <a:avLst/>
                        </a:prstGeom>
                        <a:solidFill>
                          <a:srgbClr val="FFFFFF"/>
                        </a:solidFill>
                        <a:ln>
                          <a:noFill/>
                        </a:ln>
                      </wps:spPr>
                      <wps:txbx>
                        <w:txbxContent>
                          <w:p/>
                        </w:txbxContent>
                      </wps:txbx>
                      <wps:bodyPr upright="1"/>
                    </wps:wsp>
                  </a:graphicData>
                </a:graphic>
              </wp:anchor>
            </w:drawing>
          </mc:Choice>
          <mc:Fallback>
            <w:pict>
              <v:shape id="文本框 2" o:spid="_x0000_s1026" o:spt="202" type="#_x0000_t202" style="position:absolute;left:0pt;margin-left:0pt;margin-top:-2.55pt;height:70.2pt;width:81pt;z-index:251660288;mso-width-relative:page;mso-height-relative:page;" fillcolor="#FFFFFF" filled="t" stroked="f" coordsize="21600,21600" o:gfxdata="UEsDBAoAAAAAAIdO4kAAAAAAAAAAAAAAAAAEAAAAZHJzL1BLAwQUAAAACACHTuJAILfBktYAAAAH&#10;AQAADwAAAGRycy9kb3ducmV2LnhtbE2PzW6DQAyE75X6DitX6qVKFpJCWsISqZVa9ZqfBzDgAArr&#10;RewmJG9f59TePB5r5nO+udpeXWj0nWMD8TwCRVy5uuPGwGH/NXsD5QNyjb1jMnAjD5vi8SHHrHYT&#10;b+myC42SEPYZGmhDGDKtfdWSRT93A7F4RzdaDCLHRtcjThJue72IolRb7FgaWhzos6XqtDtbA8ef&#10;6SV5n8rvcFhtX9MP7Faluxnz/BRHa1CBruHvGO74gg6FMJXuzLVXvQF5JBiYJTGou5suZFHKsEyW&#10;oItc/+cvfgFQSwMEFAAAAAgAh07iQL8eC1umAQAAKQMAAA4AAABkcnMvZTJvRG9jLnhtbK1SS27b&#10;MBDdF8gdCO5rye7PFSwHaAJ3U7QF0h6ApkiJAMkhhowlX6C9QVfddN9z+RwZ0o7TNrugWlDkzJvH&#10;eW+4upycZTuF0YBv+XxWc6a8hM74vuVfv2yeLzmLSfhOWPCq5XsV+eX64tlqDI1awAC2U8iIxMdm&#10;DC0fUgpNVUU5KCfiDILylNSATiQ6Yl91KEZid7Za1PXragTsAoJUMVL0+pjk68KvtZLpk9ZRJWZb&#10;Tr2lsmJZt3mt1ivR9CjCYOSpDfGELpwwni49U12LJNgtmkdUzkiECDrNJLgKtDZSFQ2kZl7/o+Zm&#10;EEEVLWRODGeb4v+jlR93n5GZruUvOPPC0YgOP74ffv4+/PrGFtmeMcSGUDeBcGl6BxON+T4eKZhV&#10;Txpd/pMeRnkyen82V02JyVxUL5ZvakpJyi3fzl+9LO5XD9UBY3qvwLG8aTnS8IqnYvchJuqEoPeQ&#10;fFkEa7qNsbYcsN9eWWQ7QYPelC83SSV/wazPYA+57JjOkSprPGrJuzRtp5PwLXR70n0b0PQD9VSU&#10;FzjNo9Cf3k4e+J/nQvrwwtd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ILfBktYAAAAHAQAADwAA&#10;AAAAAAABACAAAAAiAAAAZHJzL2Rvd25yZXYueG1sUEsBAhQAFAAAAAgAh07iQL8eC1umAQAAKQMA&#10;AA4AAAAAAAAAAQAgAAAAJQEAAGRycy9lMm9Eb2MueG1sUEsFBgAAAAAGAAYAWQEAAD0FAAAAAA==&#10;">
                <v:fill on="t" focussize="0,0"/>
                <v:stroke on="f"/>
                <v:imagedata o:title=""/>
                <o:lock v:ext="edit" aspectratio="f"/>
                <v:textbox>
                  <w:txbxContent>
                    <w:p/>
                  </w:txbxContent>
                </v:textbox>
              </v:shape>
            </w:pict>
          </mc:Fallback>
        </mc:AlternateContent>
      </w:r>
    </w:p>
    <w:p>
      <w:pPr>
        <w:pStyle w:val="21"/>
        <w:tabs>
          <w:tab w:val="left" w:pos="4134"/>
        </w:tabs>
        <w:snapToGrid w:val="0"/>
        <w:spacing w:line="480" w:lineRule="auto"/>
        <w:rPr>
          <w:rFonts w:hint="eastAsia" w:ascii="宋体" w:hAnsi="宋体" w:cs="宋体"/>
          <w:szCs w:val="22"/>
          <w:lang w:eastAsia="zh-CN"/>
        </w:rPr>
      </w:pPr>
    </w:p>
    <w:p>
      <w:pPr>
        <w:pStyle w:val="21"/>
        <w:snapToGrid w:val="0"/>
        <w:spacing w:line="480" w:lineRule="auto"/>
        <w:rPr>
          <w:rFonts w:hint="eastAsia" w:ascii="宋体" w:hAnsi="宋体" w:cs="宋体"/>
          <w:szCs w:val="22"/>
        </w:rPr>
      </w:pPr>
    </w:p>
    <w:p>
      <w:pPr>
        <w:autoSpaceDE w:val="0"/>
        <w:autoSpaceDN w:val="0"/>
        <w:adjustRightInd w:val="0"/>
        <w:spacing w:line="360" w:lineRule="auto"/>
        <w:ind w:firstLine="150"/>
        <w:jc w:val="center"/>
        <w:rPr>
          <w:rFonts w:hint="eastAsia" w:cs="宋体"/>
          <w:b/>
          <w:bCs/>
          <w:sz w:val="28"/>
          <w:szCs w:val="28"/>
          <w:lang w:val="en-US" w:eastAsia="zh-CN"/>
        </w:rPr>
      </w:pPr>
      <w:bookmarkStart w:id="0" w:name="_Toc445708193"/>
      <w:bookmarkStart w:id="1" w:name="_Toc446403450"/>
      <w:bookmarkStart w:id="2" w:name="_Toc467017359"/>
      <w:r>
        <w:rPr>
          <w:rFonts w:hint="eastAsia" w:cs="宋体"/>
          <w:b/>
          <w:bCs/>
          <w:sz w:val="28"/>
          <w:szCs w:val="28"/>
          <w:lang w:val="en-US" w:eastAsia="zh-CN"/>
        </w:rPr>
        <w:t>炼铁大烟道耐磨内衬技术平台</w:t>
      </w:r>
    </w:p>
    <w:p>
      <w:pPr>
        <w:numPr>
          <w:ilvl w:val="0"/>
          <w:numId w:val="0"/>
        </w:numPr>
        <w:autoSpaceDE w:val="0"/>
        <w:autoSpaceDN w:val="0"/>
        <w:adjustRightInd w:val="0"/>
        <w:spacing w:line="360" w:lineRule="auto"/>
        <w:ind w:left="930" w:leftChars="0"/>
        <w:rPr>
          <w:rFonts w:hint="eastAsia" w:cs="宋体"/>
          <w:b/>
          <w:bCs/>
          <w:sz w:val="24"/>
          <w:szCs w:val="24"/>
          <w:lang w:val="en-US" w:eastAsia="zh-CN"/>
        </w:rPr>
      </w:pPr>
      <w:r>
        <w:rPr>
          <w:rFonts w:hint="eastAsia" w:cs="宋体"/>
          <w:b/>
          <w:bCs/>
          <w:sz w:val="24"/>
          <w:szCs w:val="24"/>
          <w:lang w:val="en-US" w:eastAsia="zh-CN"/>
        </w:rPr>
        <w:t>一、施工内容</w:t>
      </w:r>
    </w:p>
    <w:p>
      <w:pPr>
        <w:numPr>
          <w:ilvl w:val="0"/>
          <w:numId w:val="0"/>
        </w:numPr>
        <w:autoSpaceDE w:val="0"/>
        <w:autoSpaceDN w:val="0"/>
        <w:adjustRightInd w:val="0"/>
        <w:spacing w:line="360" w:lineRule="auto"/>
        <w:ind w:firstLine="480" w:firstLineChars="200"/>
        <w:rPr>
          <w:rFonts w:hint="eastAsia" w:cs="宋体"/>
          <w:sz w:val="24"/>
          <w:szCs w:val="24"/>
          <w:lang w:val="en-US" w:eastAsia="zh-CN"/>
        </w:rPr>
      </w:pPr>
      <w:r>
        <w:rPr>
          <w:rFonts w:hint="eastAsia" w:cs="宋体"/>
          <w:sz w:val="24"/>
          <w:szCs w:val="24"/>
          <w:lang w:val="en-US" w:eastAsia="zh-CN"/>
        </w:rPr>
        <w:t>炼铁部两组大烟道耐磨内衬拆除、更换。</w:t>
      </w:r>
    </w:p>
    <w:p>
      <w:pPr>
        <w:numPr>
          <w:ilvl w:val="0"/>
          <w:numId w:val="0"/>
        </w:numPr>
        <w:autoSpaceDE w:val="0"/>
        <w:autoSpaceDN w:val="0"/>
        <w:adjustRightInd w:val="0"/>
        <w:spacing w:line="360" w:lineRule="auto"/>
        <w:ind w:left="930" w:leftChars="0"/>
        <w:rPr>
          <w:rFonts w:hint="eastAsia" w:cs="宋体"/>
          <w:b/>
          <w:bCs/>
          <w:sz w:val="24"/>
          <w:szCs w:val="24"/>
          <w:lang w:val="en-US" w:eastAsia="zh-CN"/>
        </w:rPr>
      </w:pPr>
      <w:r>
        <w:rPr>
          <w:rFonts w:hint="eastAsia" w:cs="宋体"/>
          <w:b/>
          <w:bCs/>
          <w:sz w:val="24"/>
          <w:szCs w:val="24"/>
          <w:lang w:val="en-US" w:eastAsia="zh-CN"/>
        </w:rPr>
        <w:t>二、施工材料理化指标</w:t>
      </w:r>
    </w:p>
    <w:bookmarkEnd w:id="0"/>
    <w:bookmarkEnd w:id="1"/>
    <w:bookmarkEnd w:id="2"/>
    <w:p>
      <w:pPr>
        <w:autoSpaceDE w:val="0"/>
        <w:autoSpaceDN w:val="0"/>
        <w:adjustRightInd w:val="0"/>
        <w:spacing w:line="360" w:lineRule="auto"/>
        <w:ind w:firstLine="150"/>
        <w:rPr>
          <w:rFonts w:hint="eastAsia" w:cs="宋体"/>
          <w:sz w:val="22"/>
          <w:szCs w:val="22"/>
          <w:lang w:val="zh-CN"/>
        </w:rPr>
      </w:pPr>
      <w:r>
        <w:rPr>
          <w:rFonts w:hint="eastAsia" w:cs="宋体"/>
          <w:sz w:val="22"/>
          <w:szCs w:val="22"/>
          <w:lang w:val="zh-CN"/>
        </w:rPr>
        <w:t>大烟道耐磨涂料理化指标</w:t>
      </w:r>
    </w:p>
    <w:tbl>
      <w:tblPr>
        <w:tblStyle w:val="10"/>
        <w:tblW w:w="5905"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72" w:type="dxa"/>
          <w:left w:w="57" w:type="dxa"/>
          <w:bottom w:w="72" w:type="dxa"/>
          <w:right w:w="57" w:type="dxa"/>
        </w:tblCellMar>
      </w:tblPr>
      <w:tblGrid>
        <w:gridCol w:w="2833"/>
        <w:gridCol w:w="3072"/>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72" w:type="dxa"/>
            <w:left w:w="57" w:type="dxa"/>
            <w:bottom w:w="72" w:type="dxa"/>
            <w:right w:w="57" w:type="dxa"/>
          </w:tblCellMar>
        </w:tblPrEx>
        <w:trPr>
          <w:trHeight w:val="20" w:hRule="atLeast"/>
          <w:jc w:val="center"/>
        </w:trPr>
        <w:tc>
          <w:tcPr>
            <w:tcW w:w="2833" w:type="dxa"/>
            <w:tcBorders>
              <w:top w:val="single" w:color="000000" w:sz="12" w:space="0"/>
              <w:left w:val="single" w:color="000000" w:sz="12" w:space="0"/>
              <w:bottom w:val="single" w:color="000000" w:sz="6" w:space="0"/>
              <w:right w:val="single" w:color="000000" w:sz="6" w:space="0"/>
            </w:tcBorders>
            <w:vAlign w:val="top"/>
          </w:tcPr>
          <w:p>
            <w:pPr>
              <w:pStyle w:val="19"/>
              <w:tabs>
                <w:tab w:val="left" w:pos="2100"/>
              </w:tabs>
              <w:ind w:left="0" w:firstLine="0" w:firstLineChars="0"/>
              <w:jc w:val="center"/>
              <w:rPr>
                <w:rFonts w:ascii="Arial" w:hAnsi="Arial" w:cs="Arial"/>
                <w:color w:val="000000"/>
                <w:sz w:val="22"/>
                <w:szCs w:val="22"/>
              </w:rPr>
            </w:pPr>
            <w:r>
              <w:rPr>
                <w:rFonts w:hint="eastAsia" w:ascii="Arial" w:hAnsi="Arial" w:cs="Arial"/>
                <w:color w:val="000000"/>
                <w:sz w:val="22"/>
                <w:szCs w:val="22"/>
              </w:rPr>
              <w:t>产品名称</w:t>
            </w:r>
          </w:p>
        </w:tc>
        <w:tc>
          <w:tcPr>
            <w:tcW w:w="3072" w:type="dxa"/>
            <w:tcBorders>
              <w:top w:val="single" w:color="000000" w:sz="12" w:space="0"/>
              <w:left w:val="single" w:color="000000" w:sz="6" w:space="0"/>
              <w:bottom w:val="single" w:color="000000" w:sz="6" w:space="0"/>
              <w:right w:val="single" w:color="000000" w:sz="12" w:space="0"/>
            </w:tcBorders>
            <w:vAlign w:val="top"/>
          </w:tcPr>
          <w:p>
            <w:pPr>
              <w:pStyle w:val="19"/>
              <w:tabs>
                <w:tab w:val="left" w:pos="2100"/>
              </w:tabs>
              <w:ind w:left="0" w:firstLine="0" w:firstLineChars="0"/>
              <w:jc w:val="center"/>
              <w:rPr>
                <w:rFonts w:ascii="Arial" w:hAnsi="Arial" w:cs="Arial"/>
                <w:color w:val="000000"/>
                <w:sz w:val="22"/>
                <w:szCs w:val="22"/>
              </w:rPr>
            </w:pPr>
            <w:r>
              <w:rPr>
                <w:rFonts w:hint="eastAsia" w:ascii="Arial" w:hAnsi="Arial" w:cs="Arial"/>
                <w:color w:val="000000"/>
                <w:sz w:val="22"/>
                <w:szCs w:val="22"/>
              </w:rPr>
              <w:t>耐磨衬体材料</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72" w:type="dxa"/>
            <w:left w:w="57" w:type="dxa"/>
            <w:bottom w:w="72" w:type="dxa"/>
            <w:right w:w="57" w:type="dxa"/>
          </w:tblCellMar>
        </w:tblPrEx>
        <w:trPr>
          <w:trHeight w:val="20" w:hRule="atLeast"/>
          <w:jc w:val="center"/>
        </w:trPr>
        <w:tc>
          <w:tcPr>
            <w:tcW w:w="2833" w:type="dxa"/>
            <w:tcBorders>
              <w:top w:val="single" w:color="000000" w:sz="12" w:space="0"/>
              <w:left w:val="single" w:color="000000" w:sz="12" w:space="0"/>
              <w:bottom w:val="single" w:color="000000" w:sz="6" w:space="0"/>
              <w:right w:val="single" w:color="000000" w:sz="6" w:space="0"/>
            </w:tcBorders>
            <w:vAlign w:val="top"/>
          </w:tcPr>
          <w:p>
            <w:pPr>
              <w:pStyle w:val="19"/>
              <w:tabs>
                <w:tab w:val="left" w:pos="2100"/>
              </w:tabs>
              <w:ind w:left="0" w:firstLine="0" w:firstLineChars="0"/>
              <w:jc w:val="center"/>
              <w:rPr>
                <w:rFonts w:ascii="Arial" w:hAnsi="Arial" w:cs="Arial"/>
                <w:color w:val="000000"/>
                <w:sz w:val="22"/>
                <w:szCs w:val="22"/>
              </w:rPr>
            </w:pPr>
            <w:r>
              <w:rPr>
                <w:rFonts w:hint="eastAsia" w:ascii="Arial" w:hAnsi="Arial" w:cs="Arial"/>
                <w:color w:val="000000"/>
                <w:sz w:val="22"/>
                <w:szCs w:val="22"/>
              </w:rPr>
              <w:t>体积密度 （g/ cm</w:t>
            </w:r>
            <w:r>
              <w:rPr>
                <w:rFonts w:hint="eastAsia" w:ascii="Arial" w:hAnsi="Arial" w:cs="Arial"/>
                <w:color w:val="000000"/>
                <w:sz w:val="22"/>
                <w:szCs w:val="22"/>
                <w:vertAlign w:val="superscript"/>
              </w:rPr>
              <w:t>3</w:t>
            </w:r>
            <w:r>
              <w:rPr>
                <w:rFonts w:hint="eastAsia" w:ascii="Arial" w:hAnsi="Arial" w:cs="Arial"/>
                <w:color w:val="000000"/>
                <w:sz w:val="22"/>
                <w:szCs w:val="22"/>
              </w:rPr>
              <w:t>）</w:t>
            </w:r>
          </w:p>
        </w:tc>
        <w:tc>
          <w:tcPr>
            <w:tcW w:w="3072" w:type="dxa"/>
            <w:tcBorders>
              <w:top w:val="single" w:color="000000" w:sz="12" w:space="0"/>
              <w:left w:val="single" w:color="000000" w:sz="6" w:space="0"/>
              <w:bottom w:val="single" w:color="000000" w:sz="6" w:space="0"/>
              <w:right w:val="single" w:color="000000" w:sz="12" w:space="0"/>
            </w:tcBorders>
            <w:vAlign w:val="top"/>
          </w:tcPr>
          <w:p>
            <w:pPr>
              <w:pStyle w:val="19"/>
              <w:tabs>
                <w:tab w:val="left" w:pos="2100"/>
              </w:tabs>
              <w:ind w:left="0" w:firstLine="0" w:firstLineChars="0"/>
              <w:jc w:val="center"/>
              <w:rPr>
                <w:rFonts w:ascii="Arial" w:hAnsi="Arial" w:cs="Arial"/>
                <w:color w:val="000000"/>
                <w:sz w:val="22"/>
                <w:szCs w:val="22"/>
              </w:rPr>
            </w:pPr>
            <w:r>
              <w:rPr>
                <w:rFonts w:hint="eastAsia" w:ascii="Arial" w:hAnsi="Arial" w:cs="Arial"/>
                <w:color w:val="000000"/>
                <w:sz w:val="22"/>
                <w:szCs w:val="22"/>
              </w:rPr>
              <w:t>≥2.40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72" w:type="dxa"/>
            <w:left w:w="57" w:type="dxa"/>
            <w:bottom w:w="72" w:type="dxa"/>
            <w:right w:w="57" w:type="dxa"/>
          </w:tblCellMar>
        </w:tblPrEx>
        <w:trPr>
          <w:trHeight w:val="20" w:hRule="atLeast"/>
          <w:jc w:val="center"/>
        </w:trPr>
        <w:tc>
          <w:tcPr>
            <w:tcW w:w="2833" w:type="dxa"/>
            <w:tcBorders>
              <w:top w:val="single" w:color="000000" w:sz="6" w:space="0"/>
              <w:left w:val="single" w:color="000000" w:sz="12" w:space="0"/>
              <w:bottom w:val="single" w:color="000000" w:sz="6" w:space="0"/>
              <w:right w:val="single" w:color="000000" w:sz="6" w:space="0"/>
            </w:tcBorders>
            <w:vAlign w:val="top"/>
          </w:tcPr>
          <w:p>
            <w:pPr>
              <w:pStyle w:val="19"/>
              <w:tabs>
                <w:tab w:val="left" w:pos="2100"/>
              </w:tabs>
              <w:ind w:left="0" w:firstLine="0" w:firstLineChars="0"/>
              <w:jc w:val="center"/>
              <w:rPr>
                <w:rFonts w:ascii="Arial" w:hAnsi="Arial" w:cs="Arial"/>
                <w:color w:val="000000"/>
                <w:sz w:val="22"/>
                <w:szCs w:val="22"/>
              </w:rPr>
            </w:pPr>
            <w:r>
              <w:rPr>
                <w:rFonts w:hint="eastAsia" w:ascii="Arial" w:hAnsi="Arial" w:cs="Arial"/>
                <w:color w:val="000000"/>
                <w:sz w:val="22"/>
                <w:szCs w:val="22"/>
              </w:rPr>
              <w:t>抗折强度（M</w:t>
            </w:r>
            <w:r>
              <w:rPr>
                <w:rFonts w:ascii="Arial" w:hAnsi="Arial" w:cs="Arial"/>
                <w:color w:val="000000"/>
                <w:sz w:val="22"/>
                <w:szCs w:val="22"/>
              </w:rPr>
              <w:t>p</w:t>
            </w:r>
            <w:r>
              <w:rPr>
                <w:rFonts w:hint="eastAsia" w:ascii="Arial" w:hAnsi="Arial" w:cs="Arial"/>
                <w:color w:val="000000"/>
                <w:sz w:val="22"/>
                <w:szCs w:val="22"/>
              </w:rPr>
              <w:t>a）</w:t>
            </w:r>
          </w:p>
        </w:tc>
        <w:tc>
          <w:tcPr>
            <w:tcW w:w="3072" w:type="dxa"/>
            <w:tcBorders>
              <w:top w:val="single" w:color="000000" w:sz="6" w:space="0"/>
              <w:left w:val="single" w:color="000000" w:sz="6" w:space="0"/>
              <w:bottom w:val="single" w:color="000000" w:sz="6" w:space="0"/>
              <w:right w:val="single" w:color="000000" w:sz="12" w:space="0"/>
            </w:tcBorders>
            <w:vAlign w:val="top"/>
          </w:tcPr>
          <w:p>
            <w:pPr>
              <w:pStyle w:val="19"/>
              <w:tabs>
                <w:tab w:val="left" w:pos="2100"/>
              </w:tabs>
              <w:ind w:left="0" w:firstLine="0" w:firstLineChars="0"/>
              <w:jc w:val="center"/>
              <w:rPr>
                <w:rFonts w:ascii="Arial" w:hAnsi="Arial" w:cs="Arial"/>
                <w:color w:val="000000"/>
                <w:sz w:val="22"/>
                <w:szCs w:val="22"/>
              </w:rPr>
            </w:pPr>
            <w:r>
              <w:rPr>
                <w:rFonts w:hint="eastAsia" w:ascii="Arial" w:hAnsi="Arial" w:cs="Arial"/>
                <w:color w:val="000000"/>
                <w:sz w:val="22"/>
                <w:szCs w:val="22"/>
              </w:rPr>
              <w:t>≥12</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72" w:type="dxa"/>
            <w:left w:w="57" w:type="dxa"/>
            <w:bottom w:w="72" w:type="dxa"/>
            <w:right w:w="57" w:type="dxa"/>
          </w:tblCellMar>
        </w:tblPrEx>
        <w:trPr>
          <w:trHeight w:val="20" w:hRule="atLeast"/>
          <w:jc w:val="center"/>
        </w:trPr>
        <w:tc>
          <w:tcPr>
            <w:tcW w:w="2833" w:type="dxa"/>
            <w:tcBorders>
              <w:top w:val="single" w:color="000000" w:sz="6" w:space="0"/>
              <w:left w:val="single" w:color="000000" w:sz="12" w:space="0"/>
              <w:bottom w:val="single" w:color="000000" w:sz="6" w:space="0"/>
              <w:right w:val="single" w:color="000000" w:sz="6" w:space="0"/>
            </w:tcBorders>
            <w:vAlign w:val="top"/>
          </w:tcPr>
          <w:p>
            <w:pPr>
              <w:pStyle w:val="19"/>
              <w:tabs>
                <w:tab w:val="left" w:pos="2100"/>
              </w:tabs>
              <w:ind w:left="0" w:firstLine="0" w:firstLineChars="0"/>
              <w:jc w:val="center"/>
              <w:rPr>
                <w:rFonts w:ascii="Arial" w:hAnsi="Arial" w:cs="Arial"/>
                <w:color w:val="000000"/>
                <w:sz w:val="22"/>
                <w:szCs w:val="22"/>
              </w:rPr>
            </w:pPr>
            <w:r>
              <w:rPr>
                <w:rFonts w:hint="eastAsia" w:ascii="Arial" w:hAnsi="Arial" w:cs="Arial"/>
                <w:color w:val="000000"/>
                <w:sz w:val="22"/>
                <w:szCs w:val="22"/>
              </w:rPr>
              <w:t>耐压强度（M</w:t>
            </w:r>
            <w:r>
              <w:rPr>
                <w:rFonts w:ascii="Arial" w:hAnsi="Arial" w:cs="Arial"/>
                <w:color w:val="000000"/>
                <w:sz w:val="22"/>
                <w:szCs w:val="22"/>
              </w:rPr>
              <w:t>p</w:t>
            </w:r>
            <w:r>
              <w:rPr>
                <w:rFonts w:hint="eastAsia" w:ascii="Arial" w:hAnsi="Arial" w:cs="Arial"/>
                <w:color w:val="000000"/>
                <w:sz w:val="22"/>
                <w:szCs w:val="22"/>
              </w:rPr>
              <w:t>a）</w:t>
            </w:r>
          </w:p>
        </w:tc>
        <w:tc>
          <w:tcPr>
            <w:tcW w:w="3072" w:type="dxa"/>
            <w:tcBorders>
              <w:top w:val="single" w:color="000000" w:sz="6" w:space="0"/>
              <w:left w:val="single" w:color="000000" w:sz="6" w:space="0"/>
              <w:bottom w:val="single" w:color="000000" w:sz="6" w:space="0"/>
              <w:right w:val="single" w:color="000000" w:sz="12" w:space="0"/>
            </w:tcBorders>
            <w:vAlign w:val="top"/>
          </w:tcPr>
          <w:p>
            <w:pPr>
              <w:pStyle w:val="19"/>
              <w:tabs>
                <w:tab w:val="left" w:pos="2100"/>
              </w:tabs>
              <w:ind w:left="0" w:firstLine="0" w:firstLineChars="0"/>
              <w:jc w:val="center"/>
              <w:rPr>
                <w:rFonts w:ascii="Arial" w:hAnsi="Arial" w:cs="Arial"/>
                <w:color w:val="000000"/>
                <w:sz w:val="22"/>
                <w:szCs w:val="22"/>
              </w:rPr>
            </w:pPr>
            <w:r>
              <w:rPr>
                <w:rFonts w:hint="eastAsia" w:ascii="Arial" w:hAnsi="Arial" w:cs="Arial"/>
                <w:color w:val="000000"/>
                <w:sz w:val="22"/>
                <w:szCs w:val="22"/>
              </w:rPr>
              <w:t>≥100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72" w:type="dxa"/>
            <w:left w:w="57" w:type="dxa"/>
            <w:bottom w:w="72" w:type="dxa"/>
            <w:right w:w="57" w:type="dxa"/>
          </w:tblCellMar>
        </w:tblPrEx>
        <w:trPr>
          <w:trHeight w:val="20" w:hRule="atLeast"/>
          <w:jc w:val="center"/>
        </w:trPr>
        <w:tc>
          <w:tcPr>
            <w:tcW w:w="2833" w:type="dxa"/>
            <w:tcBorders>
              <w:top w:val="single" w:color="000000" w:sz="6" w:space="0"/>
              <w:left w:val="single" w:color="000000" w:sz="12" w:space="0"/>
              <w:bottom w:val="single" w:color="000000" w:sz="6" w:space="0"/>
              <w:right w:val="single" w:color="000000" w:sz="6" w:space="0"/>
            </w:tcBorders>
            <w:vAlign w:val="top"/>
          </w:tcPr>
          <w:p>
            <w:pPr>
              <w:pStyle w:val="19"/>
              <w:tabs>
                <w:tab w:val="left" w:pos="2100"/>
              </w:tabs>
              <w:ind w:left="0" w:firstLine="0" w:firstLineChars="0"/>
              <w:jc w:val="center"/>
              <w:rPr>
                <w:rFonts w:ascii="Arial" w:hAnsi="Arial" w:cs="Arial"/>
                <w:color w:val="000000"/>
                <w:sz w:val="22"/>
                <w:szCs w:val="22"/>
              </w:rPr>
            </w:pPr>
            <w:r>
              <w:rPr>
                <w:rFonts w:hint="eastAsia" w:ascii="Arial" w:hAnsi="Arial" w:cs="Arial"/>
                <w:color w:val="000000"/>
                <w:sz w:val="22"/>
                <w:szCs w:val="22"/>
              </w:rPr>
              <w:t>耐磨度 （cc）</w:t>
            </w:r>
          </w:p>
        </w:tc>
        <w:tc>
          <w:tcPr>
            <w:tcW w:w="3072" w:type="dxa"/>
            <w:tcBorders>
              <w:top w:val="single" w:color="000000" w:sz="6" w:space="0"/>
              <w:left w:val="single" w:color="000000" w:sz="6" w:space="0"/>
              <w:bottom w:val="single" w:color="000000" w:sz="6" w:space="0"/>
              <w:right w:val="single" w:color="000000" w:sz="12" w:space="0"/>
            </w:tcBorders>
            <w:vAlign w:val="top"/>
          </w:tcPr>
          <w:p>
            <w:pPr>
              <w:pStyle w:val="19"/>
              <w:tabs>
                <w:tab w:val="left" w:pos="2100"/>
              </w:tabs>
              <w:ind w:left="0" w:firstLine="0" w:firstLineChars="0"/>
              <w:jc w:val="center"/>
              <w:rPr>
                <w:rFonts w:ascii="Arial" w:hAnsi="Arial" w:cs="Arial"/>
                <w:color w:val="000000"/>
                <w:sz w:val="22"/>
                <w:szCs w:val="22"/>
              </w:rPr>
            </w:pPr>
            <w:r>
              <w:rPr>
                <w:rFonts w:hint="eastAsia" w:ascii="Arial" w:hAnsi="Arial" w:cs="Arial"/>
                <w:color w:val="000000"/>
                <w:sz w:val="22"/>
                <w:szCs w:val="22"/>
              </w:rPr>
              <w:t>≤6</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72" w:type="dxa"/>
            <w:left w:w="57" w:type="dxa"/>
            <w:bottom w:w="72" w:type="dxa"/>
            <w:right w:w="57" w:type="dxa"/>
          </w:tblCellMar>
        </w:tblPrEx>
        <w:trPr>
          <w:trHeight w:val="20" w:hRule="atLeast"/>
          <w:jc w:val="center"/>
        </w:trPr>
        <w:tc>
          <w:tcPr>
            <w:tcW w:w="2833" w:type="dxa"/>
            <w:tcBorders>
              <w:top w:val="single" w:color="000000" w:sz="6" w:space="0"/>
              <w:left w:val="single" w:color="000000" w:sz="12" w:space="0"/>
              <w:bottom w:val="single" w:color="000000" w:sz="6" w:space="0"/>
              <w:right w:val="single" w:color="000000" w:sz="6" w:space="0"/>
            </w:tcBorders>
            <w:vAlign w:val="top"/>
          </w:tcPr>
          <w:p>
            <w:pPr>
              <w:pStyle w:val="19"/>
              <w:tabs>
                <w:tab w:val="left" w:pos="2100"/>
              </w:tabs>
              <w:ind w:left="0" w:firstLine="0" w:firstLineChars="0"/>
              <w:jc w:val="center"/>
              <w:rPr>
                <w:rFonts w:ascii="Arial" w:hAnsi="Arial" w:cs="Arial"/>
                <w:color w:val="000000"/>
                <w:sz w:val="22"/>
                <w:szCs w:val="22"/>
              </w:rPr>
            </w:pPr>
            <w:r>
              <w:rPr>
                <w:rFonts w:hint="eastAsia" w:ascii="Arial" w:hAnsi="Arial" w:cs="Arial"/>
                <w:color w:val="000000"/>
                <w:sz w:val="22"/>
                <w:szCs w:val="22"/>
              </w:rPr>
              <w:t>线变化率（%）</w:t>
            </w:r>
          </w:p>
        </w:tc>
        <w:tc>
          <w:tcPr>
            <w:tcW w:w="3072" w:type="dxa"/>
            <w:tcBorders>
              <w:top w:val="single" w:color="000000" w:sz="6" w:space="0"/>
              <w:left w:val="single" w:color="000000" w:sz="6" w:space="0"/>
              <w:bottom w:val="single" w:color="000000" w:sz="6" w:space="0"/>
              <w:right w:val="single" w:color="000000" w:sz="12" w:space="0"/>
            </w:tcBorders>
            <w:vAlign w:val="top"/>
          </w:tcPr>
          <w:p>
            <w:pPr>
              <w:pStyle w:val="19"/>
              <w:tabs>
                <w:tab w:val="left" w:pos="2100"/>
              </w:tabs>
              <w:ind w:left="0" w:firstLine="0" w:firstLineChars="0"/>
              <w:jc w:val="center"/>
              <w:rPr>
                <w:rFonts w:ascii="Arial" w:hAnsi="Arial" w:cs="Arial"/>
                <w:color w:val="000000"/>
                <w:sz w:val="22"/>
                <w:szCs w:val="22"/>
              </w:rPr>
            </w:pPr>
            <w:r>
              <w:rPr>
                <w:rFonts w:hint="eastAsia" w:ascii="Arial" w:hAnsi="Arial" w:cs="Arial"/>
                <w:color w:val="000000"/>
                <w:sz w:val="22"/>
                <w:szCs w:val="22"/>
              </w:rPr>
              <w:t>±0.15</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72" w:type="dxa"/>
            <w:left w:w="57" w:type="dxa"/>
            <w:bottom w:w="72" w:type="dxa"/>
            <w:right w:w="57" w:type="dxa"/>
          </w:tblCellMar>
        </w:tblPrEx>
        <w:trPr>
          <w:trHeight w:val="20" w:hRule="atLeast"/>
          <w:jc w:val="center"/>
        </w:trPr>
        <w:tc>
          <w:tcPr>
            <w:tcW w:w="2833" w:type="dxa"/>
            <w:tcBorders>
              <w:top w:val="single" w:color="000000" w:sz="6" w:space="0"/>
              <w:left w:val="single" w:color="000000" w:sz="12" w:space="0"/>
              <w:bottom w:val="single" w:color="000000" w:sz="6" w:space="0"/>
              <w:right w:val="single" w:color="000000" w:sz="6" w:space="0"/>
            </w:tcBorders>
            <w:vAlign w:val="top"/>
          </w:tcPr>
          <w:p>
            <w:pPr>
              <w:pStyle w:val="19"/>
              <w:tabs>
                <w:tab w:val="left" w:pos="2100"/>
              </w:tabs>
              <w:ind w:left="0" w:firstLine="0" w:firstLineChars="0"/>
              <w:jc w:val="center"/>
              <w:rPr>
                <w:rFonts w:ascii="Arial" w:hAnsi="Arial" w:cs="Arial"/>
                <w:color w:val="000000"/>
                <w:sz w:val="22"/>
                <w:szCs w:val="22"/>
              </w:rPr>
            </w:pPr>
            <w:r>
              <w:rPr>
                <w:sz w:val="22"/>
                <w:szCs w:val="18"/>
              </w:rPr>
              <w:t>Al</w:t>
            </w:r>
            <w:r>
              <w:rPr>
                <w:sz w:val="22"/>
                <w:szCs w:val="18"/>
                <w:vertAlign w:val="subscript"/>
              </w:rPr>
              <w:t>2</w:t>
            </w:r>
            <w:r>
              <w:rPr>
                <w:sz w:val="22"/>
                <w:szCs w:val="18"/>
              </w:rPr>
              <w:t>O</w:t>
            </w:r>
            <w:r>
              <w:rPr>
                <w:sz w:val="22"/>
                <w:szCs w:val="18"/>
                <w:vertAlign w:val="subscript"/>
              </w:rPr>
              <w:t>3</w:t>
            </w:r>
            <w:r>
              <w:rPr>
                <w:rFonts w:hint="eastAsia" w:ascii="Arial" w:hAnsi="Arial" w:cs="Arial"/>
                <w:color w:val="000000"/>
                <w:sz w:val="22"/>
                <w:szCs w:val="22"/>
              </w:rPr>
              <w:t>（%）</w:t>
            </w:r>
          </w:p>
        </w:tc>
        <w:tc>
          <w:tcPr>
            <w:tcW w:w="3072" w:type="dxa"/>
            <w:tcBorders>
              <w:top w:val="single" w:color="000000" w:sz="6" w:space="0"/>
              <w:left w:val="single" w:color="000000" w:sz="6" w:space="0"/>
              <w:bottom w:val="single" w:color="000000" w:sz="6" w:space="0"/>
              <w:right w:val="single" w:color="000000" w:sz="12" w:space="0"/>
            </w:tcBorders>
            <w:vAlign w:val="top"/>
          </w:tcPr>
          <w:p>
            <w:pPr>
              <w:pStyle w:val="19"/>
              <w:tabs>
                <w:tab w:val="left" w:pos="2100"/>
              </w:tabs>
              <w:ind w:left="0" w:firstLine="0" w:firstLineChars="0"/>
              <w:jc w:val="center"/>
              <w:rPr>
                <w:rFonts w:ascii="Arial" w:hAnsi="Arial" w:cs="Arial"/>
                <w:color w:val="000000"/>
                <w:sz w:val="22"/>
                <w:szCs w:val="22"/>
              </w:rPr>
            </w:pPr>
            <w:r>
              <w:rPr>
                <w:rFonts w:hint="eastAsia" w:ascii="Arial" w:hAnsi="Arial" w:cs="Arial"/>
                <w:color w:val="000000"/>
                <w:sz w:val="22"/>
                <w:szCs w:val="22"/>
              </w:rPr>
              <w:t>≥45</w:t>
            </w:r>
          </w:p>
        </w:tc>
      </w:tr>
    </w:tbl>
    <w:p>
      <w:pPr>
        <w:numPr>
          <w:ilvl w:val="0"/>
          <w:numId w:val="0"/>
        </w:numPr>
        <w:autoSpaceDE w:val="0"/>
        <w:autoSpaceDN w:val="0"/>
        <w:adjustRightInd w:val="0"/>
        <w:spacing w:line="360" w:lineRule="auto"/>
        <w:ind w:left="930" w:leftChars="0"/>
        <w:rPr>
          <w:rFonts w:hint="eastAsia" w:cs="宋体"/>
          <w:b/>
          <w:bCs/>
          <w:sz w:val="24"/>
          <w:szCs w:val="24"/>
          <w:lang w:val="en-US" w:eastAsia="zh-CN"/>
        </w:rPr>
      </w:pPr>
      <w:r>
        <w:rPr>
          <w:rFonts w:hint="eastAsia" w:cs="宋体"/>
          <w:b/>
          <w:bCs/>
          <w:sz w:val="24"/>
          <w:szCs w:val="24"/>
          <w:lang w:val="en-US" w:eastAsia="zh-CN"/>
        </w:rPr>
        <w:t>三、施工量</w:t>
      </w:r>
    </w:p>
    <w:p>
      <w:pPr>
        <w:numPr>
          <w:ilvl w:val="0"/>
          <w:numId w:val="9"/>
        </w:numPr>
        <w:rPr>
          <w:rFonts w:hint="eastAsia"/>
          <w:sz w:val="24"/>
          <w:szCs w:val="32"/>
          <w:lang w:val="en-US" w:eastAsia="zh-CN"/>
        </w:rPr>
      </w:pPr>
      <w:r>
        <w:rPr>
          <w:rFonts w:hint="eastAsia"/>
          <w:sz w:val="24"/>
          <w:szCs w:val="32"/>
          <w:lang w:val="en-US" w:eastAsia="zh-CN"/>
        </w:rPr>
        <w:t>大烟道凃衬更换约1400平米，包括旧耐磨衬板的拆除、新内衬的安装。</w:t>
      </w:r>
    </w:p>
    <w:p>
      <w:pPr>
        <w:numPr>
          <w:ilvl w:val="0"/>
          <w:numId w:val="9"/>
        </w:numPr>
        <w:rPr>
          <w:rFonts w:hint="eastAsia"/>
          <w:sz w:val="24"/>
          <w:szCs w:val="32"/>
          <w:lang w:val="en-US" w:eastAsia="zh-CN"/>
        </w:rPr>
      </w:pPr>
      <w:r>
        <w:rPr>
          <w:rFonts w:hint="eastAsia"/>
          <w:sz w:val="24"/>
          <w:szCs w:val="32"/>
          <w:lang w:val="en-US" w:eastAsia="zh-CN"/>
        </w:rPr>
        <w:t>施工前双方确认施工范围并拍照留存，施工结束、双方共同测量施工面积，签字确认留存，根据实际测量确定后的面积进行结算。</w:t>
      </w:r>
    </w:p>
    <w:p>
      <w:pPr>
        <w:numPr>
          <w:ilvl w:val="0"/>
          <w:numId w:val="0"/>
        </w:numPr>
        <w:autoSpaceDE w:val="0"/>
        <w:autoSpaceDN w:val="0"/>
        <w:adjustRightInd w:val="0"/>
        <w:spacing w:line="360" w:lineRule="auto"/>
        <w:ind w:left="930" w:leftChars="0"/>
        <w:rPr>
          <w:rFonts w:hint="eastAsia" w:cs="宋体"/>
          <w:b/>
          <w:bCs/>
          <w:sz w:val="24"/>
          <w:szCs w:val="24"/>
          <w:lang w:val="en-US" w:eastAsia="zh-CN"/>
        </w:rPr>
      </w:pPr>
      <w:r>
        <w:rPr>
          <w:rFonts w:hint="eastAsia" w:cs="宋体"/>
          <w:b/>
          <w:bCs/>
          <w:sz w:val="24"/>
          <w:szCs w:val="24"/>
          <w:lang w:val="en-US" w:eastAsia="zh-CN"/>
        </w:rPr>
        <w:t>四、施工要求，</w:t>
      </w:r>
    </w:p>
    <w:p>
      <w:pPr>
        <w:widowControl w:val="0"/>
        <w:numPr>
          <w:ilvl w:val="0"/>
          <w:numId w:val="10"/>
        </w:numPr>
        <w:tabs>
          <w:tab w:val="left" w:pos="705"/>
        </w:tabs>
        <w:wordWrap/>
        <w:adjustRightInd/>
        <w:snapToGrid/>
        <w:spacing w:line="240" w:lineRule="auto"/>
        <w:ind w:left="0" w:leftChars="0" w:right="0" w:firstLine="400" w:firstLineChars="200"/>
        <w:jc w:val="both"/>
        <w:textAlignment w:val="auto"/>
        <w:outlineLvl w:val="9"/>
        <w:rPr>
          <w:rFonts w:hint="eastAsia"/>
          <w:sz w:val="24"/>
          <w:szCs w:val="32"/>
          <w:lang w:val="en-US" w:eastAsia="zh-CN"/>
        </w:rPr>
      </w:pPr>
      <w:r>
        <w:rPr>
          <w:rFonts w:hint="eastAsia" w:ascii="宋体" w:hAnsi="宋体" w:eastAsia="宋体" w:cs="宋体"/>
          <w:b w:val="0"/>
          <w:bCs w:val="0"/>
          <w:sz w:val="20"/>
          <w:szCs w:val="22"/>
        </w:rPr>
        <w:t xml:space="preserve"> </w:t>
      </w:r>
      <w:r>
        <w:rPr>
          <w:rFonts w:hint="eastAsia"/>
          <w:sz w:val="24"/>
          <w:szCs w:val="32"/>
          <w:lang w:val="en-US" w:eastAsia="zh-CN"/>
        </w:rPr>
        <w:t>施工单位须在烧结一期、烧结二期停产检修期间，根据现场施工范围安排施工量。</w:t>
      </w:r>
    </w:p>
    <w:p>
      <w:pPr>
        <w:widowControl w:val="0"/>
        <w:numPr>
          <w:ilvl w:val="0"/>
          <w:numId w:val="10"/>
        </w:numPr>
        <w:tabs>
          <w:tab w:val="left" w:pos="705"/>
        </w:tabs>
        <w:wordWrap/>
        <w:adjustRightInd/>
        <w:snapToGrid/>
        <w:spacing w:line="240" w:lineRule="auto"/>
        <w:ind w:left="0" w:leftChars="0" w:right="0" w:firstLine="480" w:firstLineChars="200"/>
        <w:jc w:val="both"/>
        <w:textAlignment w:val="auto"/>
        <w:outlineLvl w:val="9"/>
        <w:rPr>
          <w:rFonts w:hint="eastAsia"/>
          <w:sz w:val="24"/>
          <w:szCs w:val="32"/>
          <w:lang w:val="en-US" w:eastAsia="zh-CN"/>
        </w:rPr>
      </w:pPr>
      <w:r>
        <w:rPr>
          <w:rFonts w:hint="eastAsia"/>
          <w:sz w:val="24"/>
          <w:szCs w:val="32"/>
          <w:lang w:val="en-US" w:eastAsia="zh-CN"/>
        </w:rPr>
        <w:t>检修所需材料、施工工器具、脚手架、防护设施等由施工单位负责，炼铁部可提供行车配合施工。</w:t>
      </w:r>
    </w:p>
    <w:p>
      <w:pPr>
        <w:widowControl w:val="0"/>
        <w:numPr>
          <w:ilvl w:val="0"/>
          <w:numId w:val="10"/>
        </w:numPr>
        <w:tabs>
          <w:tab w:val="left" w:pos="705"/>
        </w:tabs>
        <w:wordWrap/>
        <w:adjustRightInd/>
        <w:snapToGrid/>
        <w:spacing w:line="240" w:lineRule="auto"/>
        <w:ind w:left="0" w:leftChars="0" w:right="0" w:firstLine="480" w:firstLineChars="200"/>
        <w:jc w:val="both"/>
        <w:textAlignment w:val="auto"/>
        <w:outlineLvl w:val="9"/>
        <w:rPr>
          <w:rFonts w:hint="eastAsia"/>
          <w:sz w:val="24"/>
          <w:szCs w:val="32"/>
          <w:lang w:val="en-US" w:eastAsia="zh-CN"/>
        </w:rPr>
      </w:pPr>
      <w:r>
        <w:rPr>
          <w:rFonts w:hint="eastAsia"/>
          <w:sz w:val="24"/>
          <w:szCs w:val="32"/>
          <w:lang w:val="en-US" w:eastAsia="zh-CN"/>
        </w:rPr>
        <w:t>施工期间必须服从业主单位的安全、现场等管理要求。</w:t>
      </w:r>
    </w:p>
    <w:p>
      <w:pPr>
        <w:widowControl w:val="0"/>
        <w:numPr>
          <w:ilvl w:val="0"/>
          <w:numId w:val="10"/>
        </w:numPr>
        <w:tabs>
          <w:tab w:val="left" w:pos="705"/>
        </w:tabs>
        <w:wordWrap/>
        <w:adjustRightInd/>
        <w:snapToGrid/>
        <w:spacing w:line="240" w:lineRule="auto"/>
        <w:ind w:left="0" w:leftChars="0" w:right="0" w:firstLine="480" w:firstLineChars="200"/>
        <w:jc w:val="both"/>
        <w:textAlignment w:val="auto"/>
        <w:outlineLvl w:val="9"/>
        <w:rPr>
          <w:rFonts w:hint="eastAsia"/>
          <w:sz w:val="24"/>
          <w:szCs w:val="32"/>
          <w:lang w:val="en-US" w:eastAsia="zh-CN"/>
        </w:rPr>
      </w:pPr>
      <w:r>
        <w:rPr>
          <w:rFonts w:hint="eastAsia"/>
          <w:sz w:val="24"/>
          <w:szCs w:val="32"/>
          <w:lang w:val="en-US" w:eastAsia="zh-CN"/>
        </w:rPr>
        <w:t>如涉及主项工期，施工项目施工顺序及结束时间等施工节点必须无条件服从业主安排。</w:t>
      </w:r>
    </w:p>
    <w:p>
      <w:pPr>
        <w:widowControl w:val="0"/>
        <w:numPr>
          <w:ilvl w:val="0"/>
          <w:numId w:val="10"/>
        </w:numPr>
        <w:tabs>
          <w:tab w:val="left" w:pos="705"/>
        </w:tabs>
        <w:wordWrap/>
        <w:adjustRightInd/>
        <w:snapToGrid/>
        <w:spacing w:line="240" w:lineRule="auto"/>
        <w:ind w:left="0" w:leftChars="0" w:right="0" w:firstLine="480" w:firstLineChars="200"/>
        <w:jc w:val="both"/>
        <w:textAlignment w:val="auto"/>
        <w:outlineLvl w:val="9"/>
        <w:rPr>
          <w:rFonts w:hint="eastAsia"/>
          <w:sz w:val="24"/>
          <w:szCs w:val="32"/>
          <w:lang w:val="en-US" w:eastAsia="zh-CN"/>
        </w:rPr>
      </w:pPr>
      <w:r>
        <w:rPr>
          <w:rFonts w:hint="eastAsia"/>
          <w:sz w:val="24"/>
          <w:szCs w:val="32"/>
          <w:lang w:val="en-US" w:eastAsia="zh-CN"/>
        </w:rPr>
        <w:t>施工结束后，拆除的旧龟甲网、内衬等废旧物资集中堆放的指定地点，废钢放入废钢斗内，废旧耐材返厂，施工现场做到“工完、料净、场地清”。</w:t>
      </w:r>
    </w:p>
    <w:p>
      <w:pPr>
        <w:numPr>
          <w:ilvl w:val="0"/>
          <w:numId w:val="0"/>
        </w:numPr>
        <w:autoSpaceDE w:val="0"/>
        <w:autoSpaceDN w:val="0"/>
        <w:adjustRightInd w:val="0"/>
        <w:spacing w:line="360" w:lineRule="auto"/>
        <w:ind w:left="930" w:leftChars="0"/>
        <w:rPr>
          <w:rFonts w:hint="eastAsia" w:cs="宋体"/>
          <w:b/>
          <w:bCs/>
          <w:sz w:val="24"/>
          <w:szCs w:val="24"/>
          <w:lang w:val="en-US" w:eastAsia="zh-CN"/>
        </w:rPr>
      </w:pPr>
      <w:r>
        <w:rPr>
          <w:rFonts w:hint="eastAsia" w:cs="宋体"/>
          <w:b/>
          <w:bCs/>
          <w:sz w:val="24"/>
          <w:szCs w:val="24"/>
          <w:lang w:val="en-US" w:eastAsia="zh-CN"/>
        </w:rPr>
        <w:t>五、施工验收</w:t>
      </w:r>
    </w:p>
    <w:p>
      <w:pPr>
        <w:pStyle w:val="23"/>
        <w:widowControl w:val="0"/>
        <w:wordWrap/>
        <w:autoSpaceDE w:val="0"/>
        <w:autoSpaceDN w:val="0"/>
        <w:adjustRightInd/>
        <w:snapToGrid/>
        <w:spacing w:before="61" w:line="400" w:lineRule="exact"/>
        <w:ind w:left="0" w:leftChars="0" w:right="0" w:firstLine="480" w:firstLineChars="200"/>
        <w:jc w:val="left"/>
        <w:textAlignment w:val="auto"/>
        <w:outlineLvl w:val="3"/>
        <w:rPr>
          <w:rFonts w:hint="eastAsia" w:ascii="宋体" w:hAnsi="宋体" w:eastAsia="宋体"/>
          <w:b w:val="0"/>
          <w:bCs w:val="0"/>
          <w:sz w:val="24"/>
          <w:szCs w:val="24"/>
          <w:lang w:val="en-US"/>
        </w:rPr>
      </w:pPr>
      <w:r>
        <w:rPr>
          <w:rFonts w:hint="eastAsia" w:ascii="宋体" w:hAnsi="宋体" w:eastAsia="宋体"/>
          <w:b w:val="0"/>
          <w:bCs w:val="0"/>
          <w:sz w:val="24"/>
          <w:szCs w:val="24"/>
          <w:lang w:val="en-US" w:eastAsia="zh-CN"/>
        </w:rPr>
        <w:t>1、</w:t>
      </w:r>
      <w:r>
        <w:rPr>
          <w:rFonts w:hint="eastAsia" w:ascii="宋体" w:hAnsi="宋体" w:eastAsia="宋体"/>
          <w:b w:val="0"/>
          <w:bCs w:val="0"/>
          <w:sz w:val="24"/>
          <w:szCs w:val="24"/>
          <w:lang w:val="en-US"/>
        </w:rPr>
        <w:t>施工完成投用3个月后，双方当面组织验收，采用空心水钻取样测量厚度（施工厚度-磨损厚度/12＞</w:t>
      </w:r>
      <w:r>
        <w:rPr>
          <w:rFonts w:hint="eastAsia" w:ascii="宋体" w:hAnsi="宋体" w:eastAsia="宋体"/>
          <w:b w:val="0"/>
          <w:bCs w:val="0"/>
          <w:sz w:val="24"/>
          <w:szCs w:val="24"/>
          <w:lang w:val="en-US" w:eastAsia="zh-CN"/>
        </w:rPr>
        <w:t>1/6或1/12</w:t>
      </w:r>
      <w:r>
        <w:rPr>
          <w:rFonts w:hint="eastAsia" w:ascii="宋体" w:hAnsi="宋体" w:eastAsia="宋体"/>
          <w:b w:val="0"/>
          <w:bCs w:val="0"/>
          <w:sz w:val="24"/>
          <w:szCs w:val="24"/>
          <w:lang w:val="en-US"/>
        </w:rPr>
        <w:t>），测量厚度合格后按照合同要求支付费用，如果不合格可以6个月继续验收，第二次不合格，不予支付费用</w:t>
      </w:r>
      <w:r>
        <w:rPr>
          <w:rFonts w:hint="eastAsia" w:ascii="宋体" w:hAnsi="宋体" w:eastAsia="宋体"/>
          <w:b w:val="0"/>
          <w:bCs w:val="0"/>
          <w:sz w:val="24"/>
          <w:szCs w:val="24"/>
          <w:lang w:val="en-US" w:eastAsia="zh-CN"/>
        </w:rPr>
        <w:t>。</w:t>
      </w:r>
    </w:p>
    <w:p>
      <w:pPr>
        <w:pStyle w:val="23"/>
        <w:widowControl w:val="0"/>
        <w:wordWrap/>
        <w:autoSpaceDE w:val="0"/>
        <w:autoSpaceDN w:val="0"/>
        <w:adjustRightInd/>
        <w:snapToGrid/>
        <w:spacing w:before="61" w:line="400" w:lineRule="exact"/>
        <w:ind w:left="0" w:leftChars="0" w:right="0" w:firstLine="480" w:firstLineChars="200"/>
        <w:jc w:val="left"/>
        <w:textAlignment w:val="auto"/>
        <w:outlineLvl w:val="3"/>
        <w:rPr>
          <w:rFonts w:hint="eastAsia" w:ascii="宋体" w:hAnsi="宋体" w:eastAsia="宋体"/>
          <w:b w:val="0"/>
          <w:bCs w:val="0"/>
          <w:sz w:val="24"/>
          <w:szCs w:val="24"/>
          <w:lang w:val="en-US"/>
        </w:rPr>
      </w:pPr>
      <w:r>
        <w:rPr>
          <w:rFonts w:hint="eastAsia" w:ascii="宋体" w:hAnsi="宋体" w:eastAsia="宋体"/>
          <w:b w:val="0"/>
          <w:bCs w:val="0"/>
          <w:sz w:val="24"/>
          <w:szCs w:val="24"/>
          <w:lang w:val="en-US" w:eastAsia="zh-CN"/>
        </w:rPr>
        <w:t>2、施工后耐磨内衬不得出现脱落现象，如果出现脱落只给一次修补机会，脱落部分恢复后重新进行验收。</w:t>
      </w:r>
    </w:p>
    <w:p>
      <w:pPr>
        <w:numPr>
          <w:ilvl w:val="0"/>
          <w:numId w:val="0"/>
        </w:numPr>
        <w:autoSpaceDE w:val="0"/>
        <w:autoSpaceDN w:val="0"/>
        <w:adjustRightInd w:val="0"/>
        <w:spacing w:line="360" w:lineRule="auto"/>
        <w:ind w:left="930" w:leftChars="0"/>
        <w:rPr>
          <w:rFonts w:hint="eastAsia" w:cs="宋体"/>
          <w:b/>
          <w:bCs/>
          <w:sz w:val="24"/>
          <w:szCs w:val="24"/>
          <w:lang w:val="en-US" w:eastAsia="zh-CN"/>
        </w:rPr>
      </w:pPr>
      <w:r>
        <w:rPr>
          <w:rFonts w:hint="eastAsia" w:cs="宋体"/>
          <w:b/>
          <w:bCs/>
          <w:sz w:val="24"/>
          <w:szCs w:val="24"/>
          <w:lang w:val="en-US" w:eastAsia="zh-CN"/>
        </w:rPr>
        <w:t>六、质保期</w:t>
      </w:r>
    </w:p>
    <w:p>
      <w:pPr>
        <w:pStyle w:val="23"/>
        <w:widowControl w:val="0"/>
        <w:numPr>
          <w:ilvl w:val="0"/>
          <w:numId w:val="0"/>
        </w:numPr>
        <w:wordWrap/>
        <w:autoSpaceDE w:val="0"/>
        <w:autoSpaceDN w:val="0"/>
        <w:adjustRightInd/>
        <w:snapToGrid/>
        <w:spacing w:before="61" w:line="400" w:lineRule="exact"/>
        <w:ind w:leftChars="200" w:right="0"/>
        <w:jc w:val="left"/>
        <w:textAlignment w:val="auto"/>
        <w:outlineLvl w:val="3"/>
        <w:rPr>
          <w:rFonts w:hint="eastAsia" w:ascii="宋体" w:hAnsi="宋体" w:eastAsia="宋体"/>
          <w:b w:val="0"/>
          <w:bCs w:val="0"/>
          <w:sz w:val="24"/>
          <w:szCs w:val="24"/>
          <w:lang w:val="en-US" w:eastAsia="zh-CN"/>
        </w:rPr>
      </w:pPr>
      <w:r>
        <w:rPr>
          <w:rFonts w:hint="eastAsia" w:ascii="宋体" w:hAnsi="宋体" w:eastAsia="宋体"/>
          <w:b w:val="0"/>
          <w:bCs w:val="0"/>
          <w:sz w:val="24"/>
          <w:szCs w:val="24"/>
          <w:lang w:val="en-US" w:eastAsia="zh-CN"/>
        </w:rPr>
        <w:t>质保期36个月。</w:t>
      </w:r>
    </w:p>
    <w:p>
      <w:pPr>
        <w:pStyle w:val="21"/>
        <w:snapToGrid w:val="0"/>
        <w:spacing w:line="480" w:lineRule="auto"/>
        <w:rPr>
          <w:rFonts w:ascii="宋体" w:hAnsi="宋体" w:cs="宋体"/>
          <w:szCs w:val="22"/>
        </w:rPr>
      </w:pP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20.05pt;margin-top:-11.5pt;height:50.25pt;width:55pt;mso-wrap-distance-left:9pt;mso-wrap-distance-right:9pt;z-index:-251659264;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eastAsia="仿宋_GB2312"/>
          <w:sz w:val="28"/>
          <w:szCs w:val="28"/>
          <w:u w:val="single"/>
          <w:lang w:val="en-US" w:eastAsia="zh-CN"/>
        </w:rPr>
        <w:t>15255329626@163.com</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rFonts w:hint="eastAsia" w:ascii="仿宋_GB2312" w:eastAsia="仿宋_GB2312"/>
          <w:sz w:val="28"/>
          <w:szCs w:val="28"/>
        </w:rPr>
      </w:pPr>
      <w:r>
        <w:rPr>
          <w:rFonts w:hint="eastAsia" w:ascii="仿宋_GB2312" w:eastAsia="仿宋_GB2312"/>
          <w:sz w:val="28"/>
          <w:szCs w:val="28"/>
        </w:rPr>
        <w:t>签字日期：</w:t>
      </w:r>
    </w:p>
    <w:p>
      <w:pPr>
        <w:widowControl/>
        <w:shd w:val="clear" w:color="auto" w:fill="FFFFFF"/>
        <w:spacing w:line="360" w:lineRule="auto"/>
        <w:ind w:firstLine="4480" w:firstLineChars="1600"/>
        <w:jc w:val="left"/>
        <w:rPr>
          <w:rFonts w:hint="eastAsia" w:ascii="仿宋_GB2312" w:eastAsia="仿宋_GB2312"/>
          <w:sz w:val="28"/>
          <w:szCs w:val="28"/>
        </w:rPr>
      </w:pPr>
    </w:p>
    <w:p>
      <w:pPr>
        <w:widowControl/>
        <w:shd w:val="clear" w:color="auto" w:fill="FFFFFF"/>
        <w:spacing w:line="360" w:lineRule="auto"/>
        <w:ind w:firstLine="4480" w:firstLineChars="1600"/>
        <w:jc w:val="left"/>
        <w:rPr>
          <w:rFonts w:hint="eastAsia" w:ascii="仿宋_GB2312" w:eastAsia="仿宋_GB2312"/>
          <w:sz w:val="28"/>
          <w:szCs w:val="28"/>
        </w:rPr>
      </w:pP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3"/>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3"/>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3"/>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3"/>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3"/>
        <w:numPr>
          <w:ilvl w:val="0"/>
          <w:numId w:val="11"/>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3"/>
        <w:numPr>
          <w:ilvl w:val="0"/>
          <w:numId w:val="11"/>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3"/>
        <w:numPr>
          <w:ilvl w:val="0"/>
          <w:numId w:val="11"/>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3"/>
        <w:numPr>
          <w:ilvl w:val="0"/>
          <w:numId w:val="11"/>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3"/>
        <w:numPr>
          <w:ilvl w:val="0"/>
          <w:numId w:val="11"/>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3"/>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3"/>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3"/>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3"/>
        <w:spacing w:before="140" w:line="333" w:lineRule="auto"/>
        <w:ind w:left="113" w:right="209" w:firstLine="561"/>
        <w:rPr>
          <w:spacing w:val="-5"/>
          <w:w w:val="95"/>
          <w:sz w:val="24"/>
          <w:szCs w:val="24"/>
        </w:rPr>
        <w:sectPr>
          <w:pgSz w:w="11900" w:h="16840"/>
          <w:pgMar w:top="1580" w:right="980" w:bottom="280" w:left="1360" w:header="720" w:footer="720" w:gutter="0"/>
          <w:cols w:space="720" w:num="1"/>
        </w:sectPr>
      </w:pPr>
    </w:p>
    <w:p>
      <w:pPr>
        <w:pStyle w:val="3"/>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3"/>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3"/>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3"/>
        <w:spacing w:before="146" w:line="333" w:lineRule="auto"/>
        <w:ind w:left="113" w:right="209" w:firstLine="561"/>
        <w:rPr>
          <w:spacing w:val="2"/>
          <w:w w:val="95"/>
          <w:sz w:val="24"/>
          <w:szCs w:val="24"/>
        </w:rPr>
      </w:pPr>
      <w:r>
        <w:rPr>
          <w:spacing w:val="2"/>
          <w:w w:val="95"/>
          <w:sz w:val="24"/>
          <w:szCs w:val="24"/>
        </w:rPr>
        <w:t>合资质要求的其他供应商；</w:t>
      </w:r>
    </w:p>
    <w:p>
      <w:pPr>
        <w:pStyle w:val="3"/>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3"/>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3"/>
        <w:spacing w:before="7"/>
        <w:rPr>
          <w:sz w:val="20"/>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（加盖公章）</w:t>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3"/>
        <w:spacing w:before="146" w:line="333" w:lineRule="auto"/>
        <w:ind w:right="209"/>
        <w:rPr>
          <w:spacing w:val="2"/>
          <w:w w:val="95"/>
          <w:sz w:val="24"/>
          <w:szCs w:val="24"/>
        </w:rPr>
      </w:pP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3"/>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2"/>
        <w:widowControl/>
        <w:rPr>
          <w:rFonts w:hint="default"/>
          <w:sz w:val="28"/>
          <w:szCs w:val="28"/>
        </w:rPr>
      </w:pPr>
      <w:r>
        <w:rPr>
          <w:b w:val="0"/>
          <w:bCs/>
          <w:sz w:val="28"/>
          <w:szCs w:val="28"/>
        </w:rPr>
        <w:t xml:space="preserve">附件4              </w:t>
      </w:r>
      <w:r>
        <w:rPr>
          <w:rFonts w:hint="eastAsia"/>
          <w:b w:val="0"/>
          <w:bCs/>
          <w:sz w:val="28"/>
          <w:szCs w:val="28"/>
          <w:lang w:val="en-US" w:eastAsia="zh-CN"/>
        </w:rPr>
        <w:t xml:space="preserve"> </w:t>
      </w:r>
      <w:r>
        <w:rPr>
          <w:b w:val="0"/>
          <w:bCs/>
          <w:sz w:val="28"/>
          <w:szCs w:val="28"/>
        </w:rPr>
        <w:t xml:space="preserve"> </w:t>
      </w:r>
      <w:r>
        <w:rPr>
          <w:sz w:val="28"/>
          <w:szCs w:val="28"/>
        </w:rPr>
        <w:t>法人授权委托书</w:t>
      </w:r>
    </w:p>
    <w:p>
      <w:pPr>
        <w:pStyle w:val="9"/>
        <w:widowControl/>
        <w:ind w:firstLine="420"/>
        <w:rPr>
          <w:rFonts w:hint="eastAsia"/>
          <w:sz w:val="28"/>
          <w:szCs w:val="28"/>
        </w:rPr>
      </w:pPr>
      <w:r>
        <w:rPr>
          <w:sz w:val="28"/>
          <w:szCs w:val="28"/>
        </w:rPr>
        <w:t xml:space="preserve">委托单位：    </w:t>
      </w:r>
    </w:p>
    <w:p>
      <w:pPr>
        <w:pStyle w:val="9"/>
        <w:widowControl/>
        <w:ind w:firstLine="420"/>
        <w:rPr>
          <w:rFonts w:hint="eastAsia"/>
          <w:sz w:val="28"/>
          <w:szCs w:val="28"/>
        </w:rPr>
      </w:pPr>
      <w:r>
        <w:rPr>
          <w:sz w:val="28"/>
          <w:szCs w:val="28"/>
        </w:rPr>
        <w:t>法定代表人：</w:t>
      </w:r>
    </w:p>
    <w:p>
      <w:pPr>
        <w:pStyle w:val="9"/>
        <w:widowControl/>
        <w:ind w:firstLine="420"/>
        <w:rPr>
          <w:rFonts w:hint="eastAsia"/>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ind w:firstLine="420"/>
        <w:rPr>
          <w:rFonts w:hint="eastAsia"/>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ind w:firstLine="420"/>
        <w:rPr>
          <w:rFonts w:hint="eastAsia"/>
          <w:sz w:val="28"/>
          <w:szCs w:val="28"/>
        </w:rPr>
      </w:pPr>
      <w:r>
        <w:rPr>
          <w:sz w:val="28"/>
          <w:szCs w:val="28"/>
        </w:rPr>
        <w:t>现委托上述授权责任人作为我单位在</w:t>
      </w:r>
      <w:r>
        <w:rPr>
          <w:rFonts w:hint="eastAsia" w:ascii="宋体" w:hAnsi="宋体"/>
          <w:b/>
          <w:color w:val="FF0000"/>
          <w:sz w:val="28"/>
          <w:szCs w:val="28"/>
          <w:u w:val="single"/>
          <w:lang w:val="en-US" w:eastAsia="zh-CN"/>
        </w:rPr>
        <w:t>炼铁部大烟道耐磨内衬更换</w:t>
      </w:r>
      <w:r>
        <w:rPr>
          <w:rFonts w:hint="eastAsia"/>
          <w:sz w:val="28"/>
          <w:szCs w:val="28"/>
        </w:rPr>
        <w:t>项目招标活动及合同谈判过程中所签署的一切文件和处理与之相关的一切事物，本单位均予以承认。代理人无转委托权。</w:t>
      </w:r>
    </w:p>
    <w:p>
      <w:pPr>
        <w:pStyle w:val="9"/>
        <w:widowControl/>
        <w:ind w:firstLine="420"/>
        <w:rPr>
          <w:rFonts w:hint="eastAsia"/>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rFonts w:hint="eastAsia"/>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rPr>
          <w:rFonts w:hint="eastAsia"/>
        </w:rPr>
      </w:pPr>
      <w:r>
        <w:rPr>
          <w:rFonts w:hint="eastAsia"/>
        </w:rPr>
        <mc:AlternateContent>
          <mc:Choice Requires="wps">
            <w:drawing>
              <wp:anchor distT="0" distB="0" distL="114300" distR="114300" simplePos="0" relativeHeight="251658240" behindDoc="0" locked="0" layoutInCell="1" allowOverlap="1">
                <wp:simplePos x="0" y="0"/>
                <wp:positionH relativeFrom="column">
                  <wp:posOffset>2656205</wp:posOffset>
                </wp:positionH>
                <wp:positionV relativeFrom="paragraph">
                  <wp:posOffset>28575</wp:posOffset>
                </wp:positionV>
                <wp:extent cx="1873250" cy="1075690"/>
                <wp:effectExtent l="7620" t="7620" r="24130" b="21590"/>
                <wp:wrapNone/>
                <wp:docPr id="1" name="矩形 6"/>
                <wp:cNvGraphicFramePr/>
                <a:graphic xmlns:a="http://schemas.openxmlformats.org/drawingml/2006/main">
                  <a:graphicData uri="http://schemas.microsoft.com/office/word/2010/wordprocessingShape">
                    <wps:wsp>
                      <wps:cNvSpPr/>
                      <wps:spPr>
                        <a:xfrm>
                          <a:off x="0" y="0"/>
                          <a:ext cx="1873250" cy="1075690"/>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txbxContent>
                      </wps:txbx>
                      <wps:bodyPr upright="1"/>
                    </wps:wsp>
                  </a:graphicData>
                </a:graphic>
              </wp:anchor>
            </w:drawing>
          </mc:Choice>
          <mc:Fallback>
            <w:pict>
              <v:rect id="矩形 6" o:spid="_x0000_s1026" o:spt="1" style="position:absolute;left:0pt;margin-left:209.15pt;margin-top:2.25pt;height:84.7pt;width:147.5pt;z-index:251658240;mso-width-relative:page;mso-height-relative:page;" fillcolor="#FFFFFF" filled="t" stroked="t" coordsize="21600,21600" o:gfxdata="UEsDBAoAAAAAAIdO4kAAAAAAAAAAAAAAAAAEAAAAZHJzL1BLAwQUAAAACACHTuJAHZQvvNUAAAAJ&#10;AQAADwAAAGRycy9kb3ducmV2LnhtbE2PwU7DMBBE70j8g7VI3KhjArSEOJVAghMHWpC4bmOTGOJ1&#10;ZLtJ+/csJ3rb0TzNztTrgx/EZGNygTSoRQHCUhuMo07Dx/vz1QpEykgGh0BWw9EmWDfnZzVWJsy0&#10;sdM2d4JDKFWooc95rKRMbW89pkUYLbH3FaLHzDJ20kScOdwP8roo7qRHR/yhx9E+9bb92e69hgk/&#10;H1M+dunFOfUdaXrb+NdZ68sLVTyAyPaQ/2H4q8/VoeFOu7Ank8Sg4UatSkb5uAXB/lKVrHcMLst7&#10;kE0tTxc0v1BLAwQUAAAACACHTuJAH/0C7iUCAABkBAAADgAAAGRycy9lMm9Eb2MueG1srVTNjtMw&#10;EL4j8Q6W7zRJq/5s1HYPLeWCYMWCOE8dJ7HkP9neJn0aJG48BI+DeI0dO6FbQEII4YMz9sx8M/PN&#10;OOvbXkly4s4Loze0mOSUcM1MJXSzoR/eH16sKPEBdAXSaL6hZ+7p7fb5s3VnSz41rZEVdwRBtC87&#10;u6FtCLbMMs9arsBPjOUalbVxCgIeXZNVDjpEVzKb5vki64yrrDOMe4+3+0FJtwm/rjkLb+va80Dk&#10;hmJuIe0u7ce4Z9s1lI0D2wo2pgH/kIUCoTHoBWoPAciDE79BKcGc8aYOE2ZUZupaMJ5qwGqK/Jdq&#10;7luwPNWC5Hh7ocn/P1j25nTniKiwd5RoUNii75++fPv6mSwiN531JZrc2zs3njyKsdC+dip+sQTS&#10;Jz7PFz55HwjDy2K1nE3nSDtDXZEv54ubxHj25G6dD6+4USQKG+qwYYlHOL32AUOi6Q+Tkd7qIKQk&#10;zoSPIrSJoRg3KT36DAKxBkkarr1rjjvpyAlwBg5pxdIQufHX1kUeV0L6s0vyHENJoQnEWR9HKQjJ&#10;32ERYwAHKd0YRmrSIQvz1XKOhADOei0hoKgssu91M0Q2UlxcfkpjObvZ7WZj5v7aLBK0B98OFSZV&#10;NINSicBj36BsOVQvdUXC2WKHNT5FGrNRvKJEcny5UUqWAYT8G0skQWpkMU7IMBNRCv2xR5goHk11&#10;xtF6sE40Lba2SKlHDY7yQP/w7OJbuT4n0Kefw/YR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HZQv&#10;vNUAAAAJAQAADwAAAAAAAAABACAAAAAiAAAAZHJzL2Rvd25yZXYueG1sUEsBAhQAFAAAAAgAh07i&#10;QB/9Au4lAgAAZAQAAA4AAAAAAAAAAQAgAAAAJAEAAGRycy9lMm9Eb2MueG1sUEsFBgAAAAAGAAYA&#10;WQEAALsFAAAAAA==&#10;">
                <v:fill type="gradient" on="t" color2="#FFFFFF" angle="90" focus="100%" focussize="0,0">
                  <o:fill type="gradientUnscaled" v:ext="backwardCompatible"/>
                </v:fill>
                <v:stroke weight="1.25pt" color="#739CC3" joinstyle="miter"/>
                <v:imagedata o:title=""/>
                <o:lock v:ext="edit" aspectratio="f"/>
                <v:textbox>
                  <w:txbxContent>
                    <w:p/>
                  </w:txbxContent>
                </v:textbox>
              </v:rect>
            </w:pict>
          </mc:Fallback>
        </mc:AlternateContent>
      </w:r>
      <w:r>
        <w:rPr>
          <w:rFonts w:hint="eastAsia"/>
        </w:rPr>
        <mc:AlternateContent>
          <mc:Choice Requires="wps">
            <w:drawing>
              <wp:anchor distT="0" distB="0" distL="114300" distR="114300" simplePos="0" relativeHeight="251658240" behindDoc="0" locked="0" layoutInCell="1" allowOverlap="1">
                <wp:simplePos x="0" y="0"/>
                <wp:positionH relativeFrom="column">
                  <wp:posOffset>501015</wp:posOffset>
                </wp:positionH>
                <wp:positionV relativeFrom="paragraph">
                  <wp:posOffset>20320</wp:posOffset>
                </wp:positionV>
                <wp:extent cx="1873250" cy="1075690"/>
                <wp:effectExtent l="7620" t="7620" r="24130" b="21590"/>
                <wp:wrapNone/>
                <wp:docPr id="2" name="矩形 7"/>
                <wp:cNvGraphicFramePr/>
                <a:graphic xmlns:a="http://schemas.openxmlformats.org/drawingml/2006/main">
                  <a:graphicData uri="http://schemas.microsoft.com/office/word/2010/wordprocessingShape">
                    <wps:wsp>
                      <wps:cNvSpPr/>
                      <wps:spPr>
                        <a:xfrm>
                          <a:off x="0" y="0"/>
                          <a:ext cx="1873250" cy="1075690"/>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txbxContent>
                      </wps:txbx>
                      <wps:bodyPr upright="1"/>
                    </wps:wsp>
                  </a:graphicData>
                </a:graphic>
              </wp:anchor>
            </w:drawing>
          </mc:Choice>
          <mc:Fallback>
            <w:pict>
              <v:rect id="矩形 7" o:spid="_x0000_s1026" o:spt="1" style="position:absolute;left:0pt;margin-left:39.45pt;margin-top:1.6pt;height:84.7pt;width:147.5pt;z-index:251658240;mso-width-relative:page;mso-height-relative:page;" fillcolor="#FFFFFF" filled="t" stroked="t" coordsize="21600,21600" o:gfxdata="UEsDBAoAAAAAAIdO4kAAAAAAAAAAAAAAAAAEAAAAZHJzL1BLAwQUAAAACACHTuJAcNtwANUAAAAI&#10;AQAADwAAAGRycy9kb3ducmV2LnhtbE2Py07DMBBF90j8gzVI7KjzkJoS4lQCCVYsaIvEdhqbxBCP&#10;I9tN2r9nWMHy6h7dOdNsz24UswnRelKQrzIQhjqvLfUK3g/PdxsQMSFpHD0ZBRcTYdteXzVYa7/Q&#10;zsz71AseoVijgiGlqZYydoNxGFd+MsTdpw8OE8fQSx1w4XE3yiLL1tKhJb4w4GSeBtN9709OwYwf&#10;jzFd+vhibf4VaH7buddFqdubPHsAkcw5/cHwq8/q0LLT0Z9IRzEqqDb3TCooCxBcl1XJ+chcVaxB&#10;to38/0D7A1BLAwQUAAAACACHTuJARB/VkiYCAABkBAAADgAAAGRycy9lMm9Eb2MueG1srVTNjtMw&#10;EL4j8Q6W7zRJq253o6Z7aCkXBCsWxHnqOIkl/8n2NunTIHHjIXgcxGvs2AndAhJCCB+csWfmm5lv&#10;xlnfDkqSI3deGF3RYpZTwjUztdBtRT+837+4psQH0DVIo3lFT9zT283zZ+velnxuOiNr7giCaF/2&#10;tqJdCLbMMs86rsDPjOUalY1xCgIeXZvVDnpEVzKb5/lV1htXW2cY9x5vd6OSbhJ+03AW3jaN54HI&#10;imJuIe0u7Ye4Z5s1lK0D2wk2pQH/kIUCoTHoGWoHAciDE79BKcGc8aYJM2ZUZppGMJ5qwGqK/Jdq&#10;7juwPNWC5Hh7psn/P1j25njniKgrOqdEg8IWff/05dvXz2QVuemtL9Hk3t656eRRjIUOjVPxiyWQ&#10;IfF5OvPJh0AYXhbXq8V8ibQz1BX5anl1kxjPntyt8+EVN4pEoaIOG5Z4hONrHzAkmv4wmeit90JK&#10;4kz4KEKXGIpxk9KjzygQa5Ck8dq79rCVjhwBZ2CfViwNkVt/aV3kcSWkP7skzymUFJpAnPVplIKQ&#10;/B0WMQVwkNKNYaQmPbKwvF4tkRDAWW8kBBSVRfa9bsfIRoqzy09prBY32+1iytxfmkWCduC7scKk&#10;imZQKhF47BuUHYf6pa5JOFnssManSGM2iteUSI4vN0rJMoCQf2OJJEiNLMYJGWciSmE4DAgTxYOp&#10;TzhaD9aJtsPWFin1qMFRHukfn118K5fnBPr0c9g8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HDb&#10;cADVAAAACAEAAA8AAAAAAAAAAQAgAAAAIgAAAGRycy9kb3ducmV2LnhtbFBLAQIUABQAAAAIAIdO&#10;4kBEH9WSJgIAAGQEAAAOAAAAAAAAAAEAIAAAACQBAABkcnMvZTJvRG9jLnhtbFBLBQYAAAAABgAG&#10;AFkBAAC8BQAAAAA=&#10;">
                <v:fill type="gradient" on="t" color2="#FFFFFF" angle="90" focus="100%" focussize="0,0">
                  <o:fill type="gradientUnscaled" v:ext="backwardCompatible"/>
                </v:fill>
                <v:stroke weight="1.25pt" color="#739CC3" joinstyle="miter"/>
                <v:imagedata o:title=""/>
                <o:lock v:ext="edit" aspectratio="f"/>
                <v:textbox>
                  <w:txbxContent>
                    <w:p/>
                  </w:txbxContent>
                </v:textbox>
              </v:rect>
            </w:pict>
          </mc:Fallback>
        </mc:AlternateContent>
      </w:r>
    </w:p>
    <w:p>
      <w:pPr>
        <w:pStyle w:val="9"/>
        <w:widowControl/>
        <w:rPr>
          <w:rFonts w:hint="eastAsia"/>
        </w:rPr>
      </w:pPr>
    </w:p>
    <w:p>
      <w:pPr>
        <w:pStyle w:val="9"/>
        <w:widowControl/>
        <w:ind w:firstLine="420"/>
        <w:rPr>
          <w:rFonts w:hint="eastAsia"/>
        </w:rPr>
      </w:pPr>
      <w:r>
        <w:t>委托单位： (盖章)</w:t>
      </w:r>
    </w:p>
    <w:p>
      <w:pPr>
        <w:pStyle w:val="9"/>
        <w:widowControl/>
        <w:ind w:firstLine="420"/>
        <w:rPr>
          <w:rFonts w:hint="eastAsia"/>
        </w:rPr>
      </w:pPr>
      <w:r>
        <w:t>法定代表人： (签名或盖章)</w:t>
      </w:r>
    </w:p>
    <w:p>
      <w:pPr>
        <w:pStyle w:val="9"/>
        <w:widowControl/>
        <w:ind w:firstLine="420"/>
        <w:rPr>
          <w:rFonts w:hint="eastAsia"/>
        </w:rPr>
      </w:pPr>
      <w:r>
        <w:t>法人授权责任人：(签名或盖章)</w:t>
      </w:r>
    </w:p>
    <w:p>
      <w:pPr>
        <w:pStyle w:val="9"/>
        <w:widowControl/>
        <w:ind w:firstLine="960" w:firstLineChars="400"/>
        <w:rPr>
          <w:rFonts w:hint="eastAsia"/>
        </w:rPr>
      </w:pPr>
      <w:r>
        <w:t xml:space="preserve">年 </w:t>
      </w:r>
      <w:r>
        <w:rPr>
          <w:rFonts w:hint="eastAsia"/>
        </w:rPr>
        <w:t xml:space="preserve">  </w:t>
      </w:r>
      <w:r>
        <w:t xml:space="preserve">月 </w:t>
      </w:r>
      <w:r>
        <w:rPr>
          <w:rFonts w:hint="eastAsia"/>
        </w:rPr>
        <w:t xml:space="preserve">   </w:t>
      </w:r>
      <w:r>
        <w:t>日</w:t>
      </w:r>
    </w:p>
    <w:p>
      <w:pPr>
        <w:widowControl/>
        <w:shd w:val="clear" w:color="auto" w:fill="FFFFFF"/>
        <w:spacing w:line="600" w:lineRule="atLeast"/>
        <w:jc w:val="left"/>
        <w:rPr>
          <w:rFonts w:hint="eastAsia" w:ascii="宋体" w:hAnsi="宋体" w:cs="宋体"/>
          <w:b/>
          <w:bCs/>
          <w:color w:val="FF0000"/>
          <w:kern w:val="0"/>
          <w:sz w:val="24"/>
          <w:szCs w:val="24"/>
        </w:rPr>
      </w:pPr>
      <w:r>
        <w:rPr>
          <w:rFonts w:hint="eastAsia" w:ascii="宋体" w:hAnsi="宋体" w:cs="宋体"/>
          <w:b/>
          <w:bCs/>
          <w:color w:val="FF0000"/>
          <w:kern w:val="0"/>
          <w:sz w:val="24"/>
          <w:szCs w:val="24"/>
        </w:rPr>
        <w:t>报价方式见下表：</w:t>
      </w:r>
    </w:p>
    <w:p>
      <w:pPr>
        <w:jc w:val="center"/>
        <w:rPr>
          <w:rFonts w:hint="eastAsia"/>
          <w:sz w:val="44"/>
          <w:szCs w:val="44"/>
        </w:rPr>
      </w:pPr>
      <w:r>
        <w:rPr>
          <w:rFonts w:hint="eastAsia"/>
          <w:sz w:val="44"/>
          <w:szCs w:val="44"/>
        </w:rPr>
        <w:t>报价统一格式</w:t>
      </w:r>
    </w:p>
    <w:tbl>
      <w:tblPr>
        <w:tblStyle w:val="10"/>
        <w:tblW w:w="522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4"/>
        <w:gridCol w:w="2045"/>
        <w:gridCol w:w="4762"/>
        <w:gridCol w:w="1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340" w:type="pct"/>
            <w:noWrap w:val="0"/>
            <w:vAlign w:val="center"/>
          </w:tcPr>
          <w:p>
            <w:pPr>
              <w:jc w:val="center"/>
              <w:rPr>
                <w:rFonts w:hint="eastAsia"/>
                <w:sz w:val="18"/>
                <w:szCs w:val="18"/>
              </w:rPr>
            </w:pPr>
            <w:r>
              <w:rPr>
                <w:rFonts w:hint="eastAsia"/>
                <w:sz w:val="18"/>
                <w:szCs w:val="18"/>
              </w:rPr>
              <w:t>序号</w:t>
            </w:r>
          </w:p>
        </w:tc>
        <w:tc>
          <w:tcPr>
            <w:tcW w:w="1149" w:type="pct"/>
            <w:noWrap w:val="0"/>
            <w:vAlign w:val="center"/>
          </w:tcPr>
          <w:p>
            <w:pPr>
              <w:jc w:val="center"/>
              <w:rPr>
                <w:sz w:val="18"/>
                <w:szCs w:val="18"/>
              </w:rPr>
            </w:pPr>
            <w:r>
              <w:rPr>
                <w:rFonts w:hint="eastAsia"/>
                <w:sz w:val="18"/>
                <w:szCs w:val="18"/>
              </w:rPr>
              <w:t>物资名称</w:t>
            </w:r>
          </w:p>
          <w:p>
            <w:pPr>
              <w:jc w:val="center"/>
              <w:rPr>
                <w:rFonts w:hint="eastAsia"/>
                <w:sz w:val="18"/>
                <w:szCs w:val="18"/>
              </w:rPr>
            </w:pPr>
            <w:r>
              <w:rPr>
                <w:rFonts w:hint="eastAsia"/>
                <w:sz w:val="18"/>
                <w:szCs w:val="18"/>
              </w:rPr>
              <w:t xml:space="preserve"> </w:t>
            </w:r>
          </w:p>
        </w:tc>
        <w:tc>
          <w:tcPr>
            <w:tcW w:w="2676" w:type="pct"/>
            <w:noWrap w:val="0"/>
            <w:vAlign w:val="center"/>
          </w:tcPr>
          <w:p>
            <w:pPr>
              <w:jc w:val="center"/>
              <w:rPr>
                <w:rFonts w:hint="eastAsia" w:eastAsia="宋体"/>
                <w:sz w:val="18"/>
                <w:szCs w:val="18"/>
                <w:lang w:eastAsia="zh-CN"/>
              </w:rPr>
            </w:pPr>
            <w:r>
              <w:rPr>
                <w:rFonts w:hint="eastAsia"/>
                <w:sz w:val="18"/>
                <w:szCs w:val="18"/>
              </w:rPr>
              <w:t>含税、含运费报价</w:t>
            </w:r>
            <w:r>
              <w:rPr>
                <w:rFonts w:hint="eastAsia"/>
                <w:sz w:val="18"/>
                <w:szCs w:val="18"/>
                <w:lang w:eastAsia="zh-CN"/>
              </w:rPr>
              <w:t>（</w:t>
            </w:r>
            <w:r>
              <w:rPr>
                <w:rFonts w:hint="eastAsia"/>
                <w:sz w:val="18"/>
                <w:szCs w:val="18"/>
              </w:rPr>
              <w:t>元/</w:t>
            </w:r>
            <w:r>
              <w:rPr>
                <w:rFonts w:hint="eastAsia"/>
                <w:sz w:val="18"/>
                <w:szCs w:val="18"/>
                <w:lang w:val="en-US" w:eastAsia="zh-CN"/>
              </w:rPr>
              <w:t>㎡</w:t>
            </w:r>
            <w:r>
              <w:rPr>
                <w:rFonts w:hint="eastAsia"/>
                <w:sz w:val="18"/>
                <w:szCs w:val="18"/>
                <w:lang w:eastAsia="zh-CN"/>
              </w:rPr>
              <w:t>）</w:t>
            </w:r>
          </w:p>
        </w:tc>
        <w:tc>
          <w:tcPr>
            <w:tcW w:w="833" w:type="pct"/>
            <w:noWrap w:val="0"/>
            <w:vAlign w:val="center"/>
          </w:tcPr>
          <w:p>
            <w:pPr>
              <w:jc w:val="center"/>
              <w:rPr>
                <w:rFonts w:hint="eastAsia"/>
                <w:sz w:val="18"/>
                <w:szCs w:val="18"/>
              </w:rPr>
            </w:pPr>
            <w:r>
              <w:rPr>
                <w:rFonts w:hint="eastAsia" w:ascii="宋体" w:hAnsi="宋体"/>
                <w:b/>
                <w:color w:val="FF000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trPr>
        <w:tc>
          <w:tcPr>
            <w:tcW w:w="340" w:type="pct"/>
            <w:vMerge w:val="restart"/>
            <w:noWrap w:val="0"/>
            <w:vAlign w:val="center"/>
          </w:tcPr>
          <w:p>
            <w:pPr>
              <w:jc w:val="center"/>
              <w:rPr>
                <w:sz w:val="24"/>
                <w:szCs w:val="24"/>
              </w:rPr>
            </w:pPr>
            <w:r>
              <w:rPr>
                <w:rFonts w:hint="eastAsia"/>
                <w:sz w:val="24"/>
                <w:szCs w:val="24"/>
              </w:rPr>
              <w:t>1</w:t>
            </w:r>
          </w:p>
        </w:tc>
        <w:tc>
          <w:tcPr>
            <w:tcW w:w="1149" w:type="pct"/>
            <w:vMerge w:val="restart"/>
            <w:noWrap w:val="0"/>
            <w:vAlign w:val="center"/>
          </w:tcPr>
          <w:p>
            <w:pPr>
              <w:spacing w:line="400" w:lineRule="exact"/>
              <w:jc w:val="center"/>
              <w:rPr>
                <w:rFonts w:hint="eastAsia" w:ascii="宋体" w:hAnsi="宋体"/>
                <w:b/>
                <w:color w:val="000000"/>
                <w:sz w:val="24"/>
                <w:szCs w:val="24"/>
              </w:rPr>
            </w:pPr>
            <w:r>
              <w:rPr>
                <w:rFonts w:hint="eastAsia" w:ascii="宋体" w:hAnsi="宋体"/>
                <w:b/>
                <w:color w:val="FF0000"/>
                <w:sz w:val="28"/>
                <w:szCs w:val="28"/>
                <w:lang w:val="en-US" w:eastAsia="zh-CN"/>
              </w:rPr>
              <w:t>炼铁部大烟道耐磨内衬更换</w:t>
            </w:r>
          </w:p>
        </w:tc>
        <w:tc>
          <w:tcPr>
            <w:tcW w:w="2676" w:type="pct"/>
            <w:noWrap w:val="0"/>
            <w:vAlign w:val="top"/>
          </w:tcPr>
          <w:p>
            <w:pPr>
              <w:jc w:val="left"/>
              <w:rPr>
                <w:rFonts w:hint="eastAsia"/>
                <w:sz w:val="24"/>
                <w:szCs w:val="24"/>
              </w:rPr>
            </w:pPr>
          </w:p>
          <w:p>
            <w:pPr>
              <w:jc w:val="left"/>
              <w:rPr>
                <w:rFonts w:hint="default" w:eastAsia="宋体"/>
                <w:sz w:val="24"/>
                <w:szCs w:val="24"/>
                <w:lang w:val="en-US" w:eastAsia="zh-CN"/>
              </w:rPr>
            </w:pPr>
            <w:r>
              <w:rPr>
                <w:rFonts w:hint="eastAsia"/>
                <w:sz w:val="24"/>
                <w:szCs w:val="24"/>
              </w:rPr>
              <w:t>小写：</w:t>
            </w:r>
            <w:r>
              <w:rPr>
                <w:rFonts w:hint="eastAsia"/>
                <w:sz w:val="24"/>
                <w:szCs w:val="24"/>
                <w:lang w:val="en-US" w:eastAsia="zh-CN"/>
              </w:rPr>
              <w:t xml:space="preserve">                       </w:t>
            </w:r>
            <w:r>
              <w:rPr>
                <w:rFonts w:hint="eastAsia"/>
                <w:sz w:val="18"/>
                <w:szCs w:val="18"/>
              </w:rPr>
              <w:t>元/</w:t>
            </w:r>
            <w:r>
              <w:rPr>
                <w:rFonts w:hint="eastAsia"/>
                <w:sz w:val="18"/>
                <w:szCs w:val="18"/>
                <w:lang w:val="en-US" w:eastAsia="zh-CN"/>
              </w:rPr>
              <w:t>㎡</w:t>
            </w:r>
          </w:p>
        </w:tc>
        <w:tc>
          <w:tcPr>
            <w:tcW w:w="833" w:type="pct"/>
            <w:vMerge w:val="restart"/>
            <w:noWrap w:val="0"/>
            <w:vAlign w:val="top"/>
          </w:tcPr>
          <w:p>
            <w:pPr>
              <w:spacing w:line="400" w:lineRule="exact"/>
              <w:rPr>
                <w:rFonts w:hint="eastAsia" w:ascii="宋体" w:hAnsi="宋体"/>
                <w:b/>
                <w:color w:val="FF0000"/>
                <w:sz w:val="28"/>
                <w:szCs w:val="28"/>
              </w:rPr>
            </w:pPr>
          </w:p>
          <w:p>
            <w:pPr>
              <w:spacing w:line="400" w:lineRule="exact"/>
              <w:rPr>
                <w:rFonts w:hint="eastAsia" w:ascii="宋体" w:hAnsi="宋体"/>
                <w:b/>
                <w:color w:val="FF0000"/>
                <w:sz w:val="28"/>
                <w:szCs w:val="28"/>
              </w:rPr>
            </w:pPr>
            <w:r>
              <w:rPr>
                <w:rFonts w:hint="eastAsia" w:ascii="宋体" w:hAnsi="宋体"/>
                <w:b/>
                <w:color w:val="FF0000"/>
                <w:sz w:val="28"/>
                <w:szCs w:val="28"/>
              </w:rPr>
              <w:t>包工包料含税、含运费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340" w:type="pct"/>
            <w:vMerge w:val="continue"/>
            <w:noWrap w:val="0"/>
            <w:vAlign w:val="center"/>
          </w:tcPr>
          <w:p>
            <w:pPr>
              <w:jc w:val="center"/>
              <w:rPr>
                <w:rFonts w:hint="eastAsia"/>
                <w:sz w:val="24"/>
                <w:szCs w:val="24"/>
              </w:rPr>
            </w:pPr>
          </w:p>
        </w:tc>
        <w:tc>
          <w:tcPr>
            <w:tcW w:w="1149" w:type="pct"/>
            <w:vMerge w:val="continue"/>
            <w:noWrap w:val="0"/>
            <w:vAlign w:val="center"/>
          </w:tcPr>
          <w:p>
            <w:pPr>
              <w:jc w:val="center"/>
              <w:rPr>
                <w:rFonts w:hint="eastAsia"/>
                <w:sz w:val="24"/>
                <w:szCs w:val="24"/>
              </w:rPr>
            </w:pPr>
          </w:p>
        </w:tc>
        <w:tc>
          <w:tcPr>
            <w:tcW w:w="2676" w:type="pct"/>
            <w:noWrap w:val="0"/>
            <w:vAlign w:val="top"/>
          </w:tcPr>
          <w:p>
            <w:pPr>
              <w:jc w:val="left"/>
              <w:rPr>
                <w:rFonts w:hint="eastAsia"/>
                <w:sz w:val="24"/>
                <w:szCs w:val="24"/>
              </w:rPr>
            </w:pPr>
          </w:p>
          <w:p>
            <w:pPr>
              <w:jc w:val="left"/>
              <w:rPr>
                <w:rFonts w:hint="default" w:eastAsia="宋体"/>
                <w:sz w:val="24"/>
                <w:szCs w:val="24"/>
                <w:lang w:val="en-US" w:eastAsia="zh-CN"/>
              </w:rPr>
            </w:pPr>
            <w:r>
              <w:rPr>
                <w:rFonts w:hint="eastAsia"/>
                <w:sz w:val="24"/>
                <w:szCs w:val="24"/>
              </w:rPr>
              <w:t>大写：</w:t>
            </w:r>
            <w:r>
              <w:rPr>
                <w:rFonts w:hint="eastAsia"/>
                <w:sz w:val="24"/>
                <w:szCs w:val="24"/>
                <w:lang w:val="en-US" w:eastAsia="zh-CN"/>
              </w:rPr>
              <w:t xml:space="preserve">                       </w:t>
            </w:r>
            <w:r>
              <w:rPr>
                <w:rFonts w:hint="eastAsia"/>
                <w:sz w:val="18"/>
                <w:szCs w:val="18"/>
              </w:rPr>
              <w:t>元/</w:t>
            </w:r>
            <w:r>
              <w:rPr>
                <w:rFonts w:hint="eastAsia"/>
                <w:sz w:val="18"/>
                <w:szCs w:val="18"/>
                <w:lang w:val="en-US" w:eastAsia="zh-CN"/>
              </w:rPr>
              <w:t>㎡</w:t>
            </w:r>
          </w:p>
        </w:tc>
        <w:tc>
          <w:tcPr>
            <w:tcW w:w="833" w:type="pct"/>
            <w:vMerge w:val="continue"/>
            <w:noWrap w:val="0"/>
            <w:vAlign w:val="top"/>
          </w:tcPr>
          <w:p>
            <w:pPr>
              <w:jc w:val="cente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trPr>
        <w:tc>
          <w:tcPr>
            <w:tcW w:w="5000" w:type="pct"/>
            <w:gridSpan w:val="4"/>
            <w:noWrap w:val="0"/>
            <w:vAlign w:val="top"/>
          </w:tcPr>
          <w:p>
            <w:pPr>
              <w:rPr>
                <w:rFonts w:hint="eastAsia"/>
                <w:sz w:val="28"/>
                <w:szCs w:val="28"/>
              </w:rPr>
            </w:pPr>
            <w:r>
              <w:rPr>
                <w:rFonts w:hint="eastAsia"/>
                <w:sz w:val="28"/>
                <w:szCs w:val="28"/>
              </w:rPr>
              <w:t>备注: 以上报价含</w:t>
            </w:r>
            <w:r>
              <w:rPr>
                <w:rFonts w:hint="eastAsia"/>
                <w:sz w:val="28"/>
                <w:szCs w:val="28"/>
                <w:lang w:val="en-US" w:eastAsia="zh-CN"/>
              </w:rPr>
              <w:t>13%</w:t>
            </w:r>
            <w:r>
              <w:rPr>
                <w:rFonts w:hint="eastAsia"/>
                <w:sz w:val="28"/>
                <w:szCs w:val="28"/>
              </w:rPr>
              <w:t>税、含运费，一票制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1" w:hRule="atLeast"/>
        </w:trPr>
        <w:tc>
          <w:tcPr>
            <w:tcW w:w="5000" w:type="pct"/>
            <w:gridSpan w:val="4"/>
            <w:noWrap w:val="0"/>
            <w:vAlign w:val="top"/>
          </w:tcPr>
          <w:p>
            <w:pPr>
              <w:rPr>
                <w:rFonts w:hint="eastAsia"/>
                <w:sz w:val="28"/>
                <w:szCs w:val="28"/>
              </w:rPr>
            </w:pPr>
            <w:r>
              <w:rPr>
                <w:rFonts w:hint="eastAsia"/>
                <w:sz w:val="28"/>
                <w:szCs w:val="28"/>
              </w:rPr>
              <w:t>投标单位名称：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trPr>
        <w:tc>
          <w:tcPr>
            <w:tcW w:w="5000" w:type="pct"/>
            <w:gridSpan w:val="4"/>
            <w:noWrap w:val="0"/>
            <w:vAlign w:val="top"/>
          </w:tcPr>
          <w:p>
            <w:pPr>
              <w:rPr>
                <w:rFonts w:hint="eastAsia"/>
                <w:sz w:val="28"/>
                <w:szCs w:val="28"/>
              </w:rPr>
            </w:pPr>
            <w:r>
              <w:rPr>
                <w:rFonts w:hint="eastAsia"/>
                <w:sz w:val="28"/>
                <w:szCs w:val="28"/>
              </w:rPr>
              <w:t>投标单位公章及签字：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5000" w:type="pct"/>
            <w:gridSpan w:val="4"/>
            <w:noWrap w:val="0"/>
            <w:vAlign w:val="top"/>
          </w:tcPr>
          <w:p>
            <w:pPr>
              <w:rPr>
                <w:rFonts w:hint="eastAsia"/>
                <w:sz w:val="28"/>
                <w:szCs w:val="28"/>
              </w:rPr>
            </w:pPr>
            <w:r>
              <w:rPr>
                <w:rFonts w:hint="eastAsia"/>
                <w:sz w:val="28"/>
                <w:szCs w:val="28"/>
              </w:rPr>
              <w:t>日期：</w:t>
            </w:r>
          </w:p>
        </w:tc>
      </w:tr>
    </w:tbl>
    <w:p>
      <w:pPr>
        <w:spacing w:line="480" w:lineRule="auto"/>
        <w:rPr>
          <w:rFonts w:hint="eastAsia"/>
          <w:color w:val="000000"/>
          <w:sz w:val="24"/>
          <w:szCs w:val="24"/>
        </w:rPr>
      </w:pPr>
    </w:p>
    <w:p>
      <w:pPr>
        <w:pStyle w:val="9"/>
        <w:widowControl/>
        <w:rPr>
          <w:rFonts w:hint="eastAsia"/>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宋体fal">
    <w:altName w:val="宋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隶书">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D9D4819"/>
    <w:multiLevelType w:val="singleLevel"/>
    <w:tmpl w:val="AD9D4819"/>
    <w:lvl w:ilvl="0" w:tentative="0">
      <w:start w:val="1"/>
      <w:numFmt w:val="decimal"/>
      <w:suff w:val="nothing"/>
      <w:lvlText w:val="%1、"/>
      <w:lvlJc w:val="left"/>
    </w:lvl>
  </w:abstractNum>
  <w:abstractNum w:abstractNumId="1">
    <w:nsid w:val="D639B689"/>
    <w:multiLevelType w:val="singleLevel"/>
    <w:tmpl w:val="D639B689"/>
    <w:lvl w:ilvl="0" w:tentative="0">
      <w:start w:val="1"/>
      <w:numFmt w:val="decimal"/>
      <w:suff w:val="nothing"/>
      <w:lvlText w:val="%1、"/>
      <w:lvlJc w:val="left"/>
    </w:lvl>
  </w:abstractNum>
  <w:abstractNum w:abstractNumId="2">
    <w:nsid w:val="00000006"/>
    <w:multiLevelType w:val="singleLevel"/>
    <w:tmpl w:val="00000006"/>
    <w:lvl w:ilvl="0" w:tentative="0">
      <w:start w:val="1"/>
      <w:numFmt w:val="decimal"/>
      <w:suff w:val="nothing"/>
      <w:lvlText w:val="%1、"/>
      <w:lvlJc w:val="left"/>
    </w:lvl>
  </w:abstractNum>
  <w:abstractNum w:abstractNumId="3">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4">
    <w:nsid w:val="0000000B"/>
    <w:multiLevelType w:val="singleLevel"/>
    <w:tmpl w:val="0000000B"/>
    <w:lvl w:ilvl="0" w:tentative="0">
      <w:start w:val="1"/>
      <w:numFmt w:val="decimal"/>
      <w:lvlText w:val="（%1）"/>
      <w:lvlJc w:val="left"/>
      <w:pPr>
        <w:tabs>
          <w:tab w:val="left" w:pos="1125"/>
        </w:tabs>
        <w:ind w:left="1125" w:hanging="705"/>
      </w:pPr>
    </w:lvl>
  </w:abstractNum>
  <w:abstractNum w:abstractNumId="5">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6">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7">
    <w:nsid w:val="0000000E"/>
    <w:multiLevelType w:val="singleLevel"/>
    <w:tmpl w:val="0000000E"/>
    <w:lvl w:ilvl="0" w:tentative="0">
      <w:start w:val="1"/>
      <w:numFmt w:val="decimal"/>
      <w:lvlText w:val="%1、"/>
      <w:lvlJc w:val="left"/>
      <w:pPr>
        <w:tabs>
          <w:tab w:val="left" w:pos="705"/>
        </w:tabs>
        <w:ind w:left="705" w:hanging="420"/>
      </w:pPr>
    </w:lvl>
  </w:abstractNum>
  <w:abstractNum w:abstractNumId="8">
    <w:nsid w:val="2C64BC62"/>
    <w:multiLevelType w:val="singleLevel"/>
    <w:tmpl w:val="2C64BC62"/>
    <w:lvl w:ilvl="0" w:tentative="0">
      <w:start w:val="1"/>
      <w:numFmt w:val="decimal"/>
      <w:lvlText w:val="%1."/>
      <w:lvlJc w:val="left"/>
      <w:pPr>
        <w:ind w:left="425" w:hanging="425"/>
      </w:pPr>
      <w:rPr>
        <w:rFonts w:hint="default"/>
      </w:rPr>
    </w:lvl>
  </w:abstractNum>
  <w:abstractNum w:abstractNumId="9">
    <w:nsid w:val="5AE2DA4B"/>
    <w:multiLevelType w:val="singleLevel"/>
    <w:tmpl w:val="5AE2DA4B"/>
    <w:lvl w:ilvl="0" w:tentative="0">
      <w:start w:val="14"/>
      <w:numFmt w:val="chineseCounting"/>
      <w:suff w:val="nothing"/>
      <w:lvlText w:val="%1、"/>
      <w:lvlJc w:val="left"/>
      <w:rPr>
        <w:rFonts w:hint="eastAsia"/>
      </w:rPr>
    </w:lvl>
  </w:abstractNum>
  <w:num w:numId="1">
    <w:abstractNumId w:val="3"/>
    <w:lvlOverride w:ilvl="0">
      <w:startOverride w:val="1"/>
    </w:lvlOverride>
  </w:num>
  <w:num w:numId="2">
    <w:abstractNumId w:val="7"/>
    <w:lvlOverride w:ilvl="0">
      <w:startOverride w:val="1"/>
    </w:lvlOverride>
  </w:num>
  <w:num w:numId="3">
    <w:abstractNumId w:val="6"/>
    <w:lvlOverride w:ilvl="0">
      <w:startOverride w:val="1"/>
    </w:lvlOverride>
  </w:num>
  <w:num w:numId="4">
    <w:abstractNumId w:val="4"/>
    <w:lvlOverride w:ilvl="0">
      <w:startOverride w:val="1"/>
    </w:lvlOverride>
  </w:num>
  <w:num w:numId="5">
    <w:abstractNumId w:val="5"/>
  </w:num>
  <w:num w:numId="6">
    <w:abstractNumId w:val="8"/>
  </w:num>
  <w:num w:numId="7">
    <w:abstractNumId w:val="9"/>
  </w:num>
  <w:num w:numId="8">
    <w:abstractNumId w:val="0"/>
  </w:num>
  <w:num w:numId="9">
    <w:abstractNumId w:val="2"/>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5B9C"/>
    <w:rsid w:val="00044B52"/>
    <w:rsid w:val="000477BF"/>
    <w:rsid w:val="00050A6F"/>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516BD"/>
    <w:rsid w:val="001551CE"/>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77B1"/>
    <w:rsid w:val="00271BEB"/>
    <w:rsid w:val="00277E3A"/>
    <w:rsid w:val="0028075D"/>
    <w:rsid w:val="00283B56"/>
    <w:rsid w:val="00295665"/>
    <w:rsid w:val="002A71B4"/>
    <w:rsid w:val="002B5E2B"/>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E1328"/>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D1210"/>
    <w:rsid w:val="004D30C8"/>
    <w:rsid w:val="00537588"/>
    <w:rsid w:val="005411B7"/>
    <w:rsid w:val="00543C9C"/>
    <w:rsid w:val="00547A7E"/>
    <w:rsid w:val="00550F62"/>
    <w:rsid w:val="00553BD1"/>
    <w:rsid w:val="00561C4C"/>
    <w:rsid w:val="00567283"/>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21D2E"/>
    <w:rsid w:val="00623C43"/>
    <w:rsid w:val="00645280"/>
    <w:rsid w:val="00646395"/>
    <w:rsid w:val="00651BBE"/>
    <w:rsid w:val="00654FF3"/>
    <w:rsid w:val="006552BE"/>
    <w:rsid w:val="00671B41"/>
    <w:rsid w:val="00677546"/>
    <w:rsid w:val="00677912"/>
    <w:rsid w:val="006809A7"/>
    <w:rsid w:val="00683F08"/>
    <w:rsid w:val="006924F6"/>
    <w:rsid w:val="006A56BE"/>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91F91"/>
    <w:rsid w:val="007B0BC4"/>
    <w:rsid w:val="007B5FAE"/>
    <w:rsid w:val="007E4EEA"/>
    <w:rsid w:val="008469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2231"/>
    <w:rsid w:val="00902F42"/>
    <w:rsid w:val="00910ED7"/>
    <w:rsid w:val="00930823"/>
    <w:rsid w:val="00934401"/>
    <w:rsid w:val="00941AA2"/>
    <w:rsid w:val="00952D29"/>
    <w:rsid w:val="009558FC"/>
    <w:rsid w:val="009755F8"/>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81116"/>
    <w:rsid w:val="00B8268D"/>
    <w:rsid w:val="00BA1E3C"/>
    <w:rsid w:val="00BA715E"/>
    <w:rsid w:val="00BB21BD"/>
    <w:rsid w:val="00BC1F3D"/>
    <w:rsid w:val="00BD40C6"/>
    <w:rsid w:val="00BD7202"/>
    <w:rsid w:val="00BF2911"/>
    <w:rsid w:val="00C012F0"/>
    <w:rsid w:val="00C03E38"/>
    <w:rsid w:val="00C27588"/>
    <w:rsid w:val="00C36463"/>
    <w:rsid w:val="00C42215"/>
    <w:rsid w:val="00C433B9"/>
    <w:rsid w:val="00C44F71"/>
    <w:rsid w:val="00C50BDE"/>
    <w:rsid w:val="00C632C6"/>
    <w:rsid w:val="00C63F0C"/>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837DF"/>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63F6C"/>
    <w:rsid w:val="00E64B11"/>
    <w:rsid w:val="00E86EEF"/>
    <w:rsid w:val="00EB074D"/>
    <w:rsid w:val="00EB3572"/>
    <w:rsid w:val="00EF66DE"/>
    <w:rsid w:val="00EF752C"/>
    <w:rsid w:val="00F055E4"/>
    <w:rsid w:val="00F071D9"/>
    <w:rsid w:val="00F07A27"/>
    <w:rsid w:val="00F633A7"/>
    <w:rsid w:val="00F7433D"/>
    <w:rsid w:val="00F774ED"/>
    <w:rsid w:val="00F913CD"/>
    <w:rsid w:val="00F9485A"/>
    <w:rsid w:val="00FB0FC1"/>
    <w:rsid w:val="00FC63E4"/>
    <w:rsid w:val="00FF65F2"/>
    <w:rsid w:val="01BA37EC"/>
    <w:rsid w:val="038D2F19"/>
    <w:rsid w:val="043C4162"/>
    <w:rsid w:val="04823B21"/>
    <w:rsid w:val="04E22F91"/>
    <w:rsid w:val="05325D34"/>
    <w:rsid w:val="053B5FB3"/>
    <w:rsid w:val="05C52E89"/>
    <w:rsid w:val="06CB7169"/>
    <w:rsid w:val="07B66803"/>
    <w:rsid w:val="07BA48CA"/>
    <w:rsid w:val="0831406E"/>
    <w:rsid w:val="085B58B3"/>
    <w:rsid w:val="08A0728B"/>
    <w:rsid w:val="08A96692"/>
    <w:rsid w:val="09866958"/>
    <w:rsid w:val="0BFF25BD"/>
    <w:rsid w:val="0CBC295F"/>
    <w:rsid w:val="0CC73BB3"/>
    <w:rsid w:val="0DF07D84"/>
    <w:rsid w:val="0E497616"/>
    <w:rsid w:val="0E842CB1"/>
    <w:rsid w:val="0F0803D8"/>
    <w:rsid w:val="0F347211"/>
    <w:rsid w:val="0FD97D27"/>
    <w:rsid w:val="10CA64E1"/>
    <w:rsid w:val="110928F7"/>
    <w:rsid w:val="11654D47"/>
    <w:rsid w:val="135C10D5"/>
    <w:rsid w:val="139F3DA1"/>
    <w:rsid w:val="13D576D7"/>
    <w:rsid w:val="154D48F1"/>
    <w:rsid w:val="159B2E99"/>
    <w:rsid w:val="16541AFE"/>
    <w:rsid w:val="1694444C"/>
    <w:rsid w:val="17597414"/>
    <w:rsid w:val="17F97F08"/>
    <w:rsid w:val="18097CAC"/>
    <w:rsid w:val="18560C92"/>
    <w:rsid w:val="18ED4DB4"/>
    <w:rsid w:val="19B16948"/>
    <w:rsid w:val="1A8A6D05"/>
    <w:rsid w:val="1C6D24F4"/>
    <w:rsid w:val="1CCB1E53"/>
    <w:rsid w:val="1D2E11E1"/>
    <w:rsid w:val="1E937D02"/>
    <w:rsid w:val="1EAB5799"/>
    <w:rsid w:val="1F107E3E"/>
    <w:rsid w:val="1F4242F7"/>
    <w:rsid w:val="1F802445"/>
    <w:rsid w:val="21133B37"/>
    <w:rsid w:val="21534F77"/>
    <w:rsid w:val="21A2160C"/>
    <w:rsid w:val="22314769"/>
    <w:rsid w:val="223975A0"/>
    <w:rsid w:val="22B96773"/>
    <w:rsid w:val="22DB3301"/>
    <w:rsid w:val="22E00851"/>
    <w:rsid w:val="23CB766B"/>
    <w:rsid w:val="23D22DCD"/>
    <w:rsid w:val="25230E4D"/>
    <w:rsid w:val="25B129B0"/>
    <w:rsid w:val="25E36BB0"/>
    <w:rsid w:val="26F50CB1"/>
    <w:rsid w:val="26F906B4"/>
    <w:rsid w:val="278055FF"/>
    <w:rsid w:val="288D3DC5"/>
    <w:rsid w:val="28E2171B"/>
    <w:rsid w:val="29401D6D"/>
    <w:rsid w:val="2BBB5AD5"/>
    <w:rsid w:val="2BF10F3E"/>
    <w:rsid w:val="2BF40243"/>
    <w:rsid w:val="2C204052"/>
    <w:rsid w:val="2C2B7BA8"/>
    <w:rsid w:val="2C4E01C4"/>
    <w:rsid w:val="2CF31D5E"/>
    <w:rsid w:val="2D3A3FC1"/>
    <w:rsid w:val="2E2704B9"/>
    <w:rsid w:val="2E3D1B0F"/>
    <w:rsid w:val="3036622A"/>
    <w:rsid w:val="30CA3841"/>
    <w:rsid w:val="3130279D"/>
    <w:rsid w:val="31CF71A7"/>
    <w:rsid w:val="31DF7B93"/>
    <w:rsid w:val="339D246B"/>
    <w:rsid w:val="342060A8"/>
    <w:rsid w:val="35212328"/>
    <w:rsid w:val="358603F2"/>
    <w:rsid w:val="36A65EF8"/>
    <w:rsid w:val="36FB2C59"/>
    <w:rsid w:val="373827F1"/>
    <w:rsid w:val="379345D1"/>
    <w:rsid w:val="37974BFF"/>
    <w:rsid w:val="37BE23C2"/>
    <w:rsid w:val="387F2F2C"/>
    <w:rsid w:val="3936709C"/>
    <w:rsid w:val="3A3F65BD"/>
    <w:rsid w:val="3A773720"/>
    <w:rsid w:val="3C456A69"/>
    <w:rsid w:val="3C487023"/>
    <w:rsid w:val="3C887586"/>
    <w:rsid w:val="3D5A40AB"/>
    <w:rsid w:val="3DB441B2"/>
    <w:rsid w:val="3E2D0A67"/>
    <w:rsid w:val="3E371640"/>
    <w:rsid w:val="3EB93F1F"/>
    <w:rsid w:val="3EF869AA"/>
    <w:rsid w:val="3F0B65A3"/>
    <w:rsid w:val="3FC82DB5"/>
    <w:rsid w:val="404A6AC9"/>
    <w:rsid w:val="41394D83"/>
    <w:rsid w:val="41A706B0"/>
    <w:rsid w:val="41A76214"/>
    <w:rsid w:val="41BF02F4"/>
    <w:rsid w:val="422E1FDF"/>
    <w:rsid w:val="423C71D1"/>
    <w:rsid w:val="426213B7"/>
    <w:rsid w:val="42CE1EFE"/>
    <w:rsid w:val="43AF7FB4"/>
    <w:rsid w:val="44AB265D"/>
    <w:rsid w:val="4500284B"/>
    <w:rsid w:val="45407B03"/>
    <w:rsid w:val="45C004AA"/>
    <w:rsid w:val="477D0C91"/>
    <w:rsid w:val="47847BD9"/>
    <w:rsid w:val="47AD4330"/>
    <w:rsid w:val="47D7502F"/>
    <w:rsid w:val="48E1049E"/>
    <w:rsid w:val="49280B38"/>
    <w:rsid w:val="492C5B3D"/>
    <w:rsid w:val="49653908"/>
    <w:rsid w:val="4B635392"/>
    <w:rsid w:val="4BA21255"/>
    <w:rsid w:val="4DC66F68"/>
    <w:rsid w:val="4F2C34EA"/>
    <w:rsid w:val="514F2EE0"/>
    <w:rsid w:val="51A458AF"/>
    <w:rsid w:val="51E05A85"/>
    <w:rsid w:val="52E54E97"/>
    <w:rsid w:val="52EE0AE7"/>
    <w:rsid w:val="554C057B"/>
    <w:rsid w:val="562E1D47"/>
    <w:rsid w:val="566E6D8E"/>
    <w:rsid w:val="56FF0A43"/>
    <w:rsid w:val="57D705F2"/>
    <w:rsid w:val="5AAF6E02"/>
    <w:rsid w:val="5AEA3AD0"/>
    <w:rsid w:val="5B1D2529"/>
    <w:rsid w:val="5B35349E"/>
    <w:rsid w:val="5BA959B9"/>
    <w:rsid w:val="5BFD016E"/>
    <w:rsid w:val="5D173705"/>
    <w:rsid w:val="5D1B4B8A"/>
    <w:rsid w:val="5D915ACD"/>
    <w:rsid w:val="5E611270"/>
    <w:rsid w:val="5EB2026E"/>
    <w:rsid w:val="61033D16"/>
    <w:rsid w:val="625B24D7"/>
    <w:rsid w:val="62CD795C"/>
    <w:rsid w:val="62F37EBA"/>
    <w:rsid w:val="634E646B"/>
    <w:rsid w:val="65770921"/>
    <w:rsid w:val="659645E6"/>
    <w:rsid w:val="66EA0C9A"/>
    <w:rsid w:val="66FB3BC1"/>
    <w:rsid w:val="678F7868"/>
    <w:rsid w:val="67947673"/>
    <w:rsid w:val="68985C4A"/>
    <w:rsid w:val="68BB275A"/>
    <w:rsid w:val="68FD3F41"/>
    <w:rsid w:val="694E5EE5"/>
    <w:rsid w:val="694F3562"/>
    <w:rsid w:val="695E0A51"/>
    <w:rsid w:val="6AE713EB"/>
    <w:rsid w:val="6C7B13C4"/>
    <w:rsid w:val="6CA73029"/>
    <w:rsid w:val="6D027CD6"/>
    <w:rsid w:val="6E550ED4"/>
    <w:rsid w:val="6EA5652C"/>
    <w:rsid w:val="6ED71557"/>
    <w:rsid w:val="706A3FF6"/>
    <w:rsid w:val="70D03715"/>
    <w:rsid w:val="70E0155E"/>
    <w:rsid w:val="711219DD"/>
    <w:rsid w:val="71C2590D"/>
    <w:rsid w:val="71F96DCA"/>
    <w:rsid w:val="72107C5B"/>
    <w:rsid w:val="732D2693"/>
    <w:rsid w:val="7357254E"/>
    <w:rsid w:val="73611393"/>
    <w:rsid w:val="754F1E1A"/>
    <w:rsid w:val="761859F6"/>
    <w:rsid w:val="76206BC5"/>
    <w:rsid w:val="778A5616"/>
    <w:rsid w:val="780E1C86"/>
    <w:rsid w:val="797A02ED"/>
    <w:rsid w:val="79B23223"/>
    <w:rsid w:val="79DE1204"/>
    <w:rsid w:val="7A447EB1"/>
    <w:rsid w:val="7A6263B1"/>
    <w:rsid w:val="7AD817FA"/>
    <w:rsid w:val="7ADF17B7"/>
    <w:rsid w:val="7B386B42"/>
    <w:rsid w:val="7BBC102F"/>
    <w:rsid w:val="7BD509C2"/>
    <w:rsid w:val="7C9625E2"/>
    <w:rsid w:val="7D2A47F3"/>
    <w:rsid w:val="7E5345A8"/>
    <w:rsid w:val="7ED877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6"/>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7"/>
    <w:qFormat/>
    <w:uiPriority w:val="0"/>
    <w:pPr>
      <w:spacing w:after="120"/>
    </w:pPr>
  </w:style>
  <w:style w:type="paragraph" w:styleId="4">
    <w:name w:val="Body Text Indent"/>
    <w:basedOn w:val="1"/>
    <w:link w:val="13"/>
    <w:qFormat/>
    <w:uiPriority w:val="0"/>
    <w:pPr>
      <w:spacing w:after="120"/>
      <w:ind w:left="420" w:leftChars="200"/>
    </w:pPr>
    <w:rPr>
      <w:rFonts w:ascii="Calibri" w:hAnsi="Calibri"/>
      <w:sz w:val="24"/>
      <w:szCs w:val="24"/>
    </w:rPr>
  </w:style>
  <w:style w:type="paragraph" w:styleId="5">
    <w:name w:val="Date"/>
    <w:basedOn w:val="1"/>
    <w:next w:val="1"/>
    <w:link w:val="14"/>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character" w:styleId="12">
    <w:name w:val="Hyperlink"/>
    <w:basedOn w:val="11"/>
    <w:qFormat/>
    <w:uiPriority w:val="0"/>
    <w:rPr>
      <w:color w:val="0000FF"/>
      <w:u w:val="single"/>
    </w:rPr>
  </w:style>
  <w:style w:type="character" w:customStyle="1" w:styleId="13">
    <w:name w:val="正文文本缩进 Char"/>
    <w:basedOn w:val="11"/>
    <w:link w:val="4"/>
    <w:qFormat/>
    <w:uiPriority w:val="0"/>
    <w:rPr>
      <w:rFonts w:ascii="Calibri" w:hAnsi="Calibri" w:eastAsia="宋体"/>
      <w:kern w:val="2"/>
      <w:sz w:val="24"/>
      <w:szCs w:val="24"/>
    </w:rPr>
  </w:style>
  <w:style w:type="character" w:customStyle="1" w:styleId="14">
    <w:name w:val="日期 Char"/>
    <w:basedOn w:val="11"/>
    <w:link w:val="5"/>
    <w:qFormat/>
    <w:uiPriority w:val="0"/>
    <w:rPr>
      <w:kern w:val="2"/>
      <w:sz w:val="21"/>
    </w:rPr>
  </w:style>
  <w:style w:type="character" w:customStyle="1" w:styleId="15">
    <w:name w:val="font31"/>
    <w:basedOn w:val="11"/>
    <w:qFormat/>
    <w:uiPriority w:val="0"/>
    <w:rPr>
      <w:rFonts w:hint="eastAsia" w:ascii="宋体" w:hAnsi="宋体" w:eastAsia="宋体" w:cs="宋体"/>
      <w:color w:val="000000"/>
      <w:sz w:val="21"/>
      <w:szCs w:val="21"/>
      <w:u w:val="none"/>
    </w:rPr>
  </w:style>
  <w:style w:type="character" w:customStyle="1" w:styleId="16">
    <w:name w:val="标题 2 Char"/>
    <w:basedOn w:val="11"/>
    <w:link w:val="2"/>
    <w:qFormat/>
    <w:uiPriority w:val="0"/>
    <w:rPr>
      <w:rFonts w:ascii="宋体" w:hAnsi="宋体"/>
      <w:b/>
      <w:sz w:val="36"/>
      <w:szCs w:val="36"/>
    </w:rPr>
  </w:style>
  <w:style w:type="character" w:customStyle="1" w:styleId="17">
    <w:name w:val="正文文本 Char"/>
    <w:basedOn w:val="11"/>
    <w:link w:val="3"/>
    <w:qFormat/>
    <w:uiPriority w:val="0"/>
    <w:rPr>
      <w:kern w:val="2"/>
      <w:sz w:val="21"/>
    </w:rPr>
  </w:style>
  <w:style w:type="character" w:customStyle="1" w:styleId="18">
    <w:name w:val="批注框文本 Char"/>
    <w:link w:val="6"/>
    <w:qFormat/>
    <w:uiPriority w:val="0"/>
    <w:rPr>
      <w:kern w:val="2"/>
      <w:sz w:val="18"/>
      <w:szCs w:val="18"/>
    </w:rPr>
  </w:style>
  <w:style w:type="paragraph" w:styleId="19">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0">
    <w:name w:val="p0"/>
    <w:basedOn w:val="1"/>
    <w:qFormat/>
    <w:uiPriority w:val="0"/>
    <w:rPr>
      <w:sz w:val="24"/>
      <w:szCs w:val="24"/>
    </w:rPr>
  </w:style>
  <w:style w:type="paragraph" w:customStyle="1" w:styleId="21">
    <w:name w:val="Plain Text1"/>
    <w:basedOn w:val="1"/>
    <w:qFormat/>
    <w:uiPriority w:val="0"/>
    <w:rPr>
      <w:rFonts w:ascii="宋体fal" w:hAnsi="Courier New" w:cs="宋体fal"/>
      <w:sz w:val="24"/>
      <w:szCs w:val="24"/>
    </w:rPr>
  </w:style>
  <w:style w:type="paragraph" w:customStyle="1" w:styleId="22">
    <w:name w:val="Char Char Char"/>
    <w:basedOn w:val="1"/>
    <w:qFormat/>
    <w:uiPriority w:val="0"/>
  </w:style>
  <w:style w:type="paragraph" w:customStyle="1" w:styleId="23">
    <w:name w:val="Heading 3"/>
    <w:basedOn w:val="1"/>
    <w:qFormat/>
    <w:uiPriority w:val="0"/>
    <w:pPr>
      <w:spacing w:before="61"/>
      <w:ind w:left="220"/>
      <w:outlineLvl w:val="3"/>
    </w:pPr>
    <w:rPr>
      <w:rFonts w:ascii="黑体" w:hAnsi="黑体" w:eastAsia="黑体" w:cs="黑体"/>
      <w:b/>
      <w:bCs/>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753</Words>
  <Characters>4294</Characters>
  <Lines>35</Lines>
  <Paragraphs>10</Paragraphs>
  <TotalTime>7</TotalTime>
  <ScaleCrop>false</ScaleCrop>
  <LinksUpToDate>false</LinksUpToDate>
  <CharactersWithSpaces>5037</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Administrator</cp:lastModifiedBy>
  <cp:lastPrinted>2019-12-11T08:01:00Z</cp:lastPrinted>
  <dcterms:modified xsi:type="dcterms:W3CDTF">2020-10-29T05:03:33Z</dcterms:modified>
  <dc:title>招 标 发 布</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