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炼铁部烧结风箱耐磨内衬更换</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29</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LT</w:t>
      </w:r>
      <w:r>
        <w:rPr>
          <w:rFonts w:hint="eastAsia" w:ascii="宋体" w:hAnsi="宋体"/>
          <w:u w:val="single"/>
          <w:lang w:val="en-US" w:eastAsia="zh-CN"/>
        </w:rPr>
        <w:t>SC20201105SJFXNMNCGH</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炼铁部烧结风箱耐磨内衬更换</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5</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9日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lang w:val="en-US" w:eastAsia="zh-CN"/>
        </w:rPr>
        <w:t>5</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bookmarkStart w:id="3" w:name="_GoBack"/>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numId w:val="0"/>
        </w:numPr>
        <w:tabs>
          <w:tab w:val="left" w:pos="845"/>
        </w:tabs>
        <w:spacing w:line="300" w:lineRule="auto"/>
        <w:ind w:left="420" w:leftChars="0"/>
        <w:rPr>
          <w:rFonts w:ascii="宋体" w:hAnsi="宋体"/>
          <w:color w:val="FF0000"/>
          <w:sz w:val="24"/>
          <w:szCs w:val="24"/>
        </w:rPr>
      </w:pPr>
      <w:r>
        <w:rPr>
          <w:rFonts w:hint="eastAsia" w:ascii="宋体" w:hAnsi="宋体"/>
          <w:color w:val="000000"/>
          <w:sz w:val="24"/>
          <w:szCs w:val="24"/>
          <w:lang w:eastAsia="zh-CN"/>
        </w:rPr>
        <w:t>（</w:t>
      </w:r>
      <w:r>
        <w:rPr>
          <w:rFonts w:hint="eastAsia" w:ascii="宋体" w:hAnsi="宋体"/>
          <w:color w:val="000000"/>
          <w:sz w:val="24"/>
          <w:szCs w:val="24"/>
          <w:lang w:val="en-US" w:eastAsia="zh-CN"/>
        </w:rPr>
        <w:t>3</w:t>
      </w:r>
      <w:r>
        <w:rPr>
          <w:rFonts w:hint="eastAsia" w:ascii="宋体" w:hAnsi="宋体"/>
          <w:color w:val="000000"/>
          <w:sz w:val="24"/>
          <w:szCs w:val="24"/>
          <w:lang w:eastAsia="zh-CN"/>
        </w:rPr>
        <w:t>）</w:t>
      </w: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bookmarkEnd w:id="3"/>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本项目风箱耐磨内衬更换约1400平米；结算以实际更换面积结算，耐磨料理化指标、施工要求、验收要求、质保期详见技术协议。</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val="en-US" w:eastAsia="zh-CN"/>
        </w:rPr>
        <w:t>本次招标为包工包料形式，供应单位负责施工。</w:t>
      </w:r>
    </w:p>
    <w:p>
      <w:pPr>
        <w:numPr>
          <w:ilvl w:val="0"/>
          <w:numId w:val="8"/>
        </w:numPr>
        <w:spacing w:line="360" w:lineRule="auto"/>
        <w:ind w:firstLine="482" w:firstLineChars="200"/>
        <w:rPr>
          <w:rFonts w:hint="eastAsia" w:ascii="宋体" w:hAnsi="宋体"/>
          <w:b/>
          <w:color w:val="FF0000"/>
          <w:sz w:val="24"/>
          <w:szCs w:val="24"/>
          <w:lang w:val="en-US" w:eastAsia="zh-CN"/>
        </w:rPr>
      </w:pPr>
      <w:r>
        <w:rPr>
          <w:rFonts w:hint="eastAsia" w:ascii="宋体" w:hAnsi="宋体"/>
          <w:b/>
          <w:color w:val="FF0000"/>
          <w:sz w:val="24"/>
          <w:szCs w:val="24"/>
          <w:lang w:eastAsia="zh-CN"/>
        </w:rPr>
        <w:t>安全保障金：中标单位入厂施工前需向招标方缴纳60万元安全保障金，施工结束，无安全事故退回。</w:t>
      </w:r>
    </w:p>
    <w:p>
      <w:pPr>
        <w:numPr>
          <w:ilvl w:val="0"/>
          <w:numId w:val="8"/>
        </w:numPr>
        <w:spacing w:line="360" w:lineRule="auto"/>
        <w:ind w:left="0" w:leftChars="0" w:firstLine="482" w:firstLineChars="200"/>
        <w:rPr>
          <w:rFonts w:hint="eastAsia" w:ascii="宋体" w:hAnsi="宋体"/>
          <w:b/>
          <w:color w:val="FF0000"/>
          <w:sz w:val="24"/>
          <w:szCs w:val="24"/>
          <w:lang w:eastAsia="zh-CN"/>
        </w:rPr>
      </w:pPr>
      <w:r>
        <w:rPr>
          <w:rFonts w:hint="eastAsia" w:ascii="宋体" w:hAnsi="宋体"/>
          <w:b/>
          <w:color w:val="FF0000"/>
          <w:sz w:val="24"/>
          <w:szCs w:val="24"/>
        </w:rPr>
        <w:t>本次招标项目烧结风箱耐磨内衬更换最高投标限价860元</w:t>
      </w:r>
      <w:r>
        <w:rPr>
          <w:rFonts w:hint="eastAsia" w:ascii="宋体" w:hAnsi="宋体"/>
          <w:b/>
          <w:color w:val="FF0000"/>
          <w:sz w:val="24"/>
          <w:szCs w:val="24"/>
          <w:lang w:val="en-US" w:eastAsia="zh-CN"/>
        </w:rPr>
        <w:t>/㎡</w:t>
      </w:r>
      <w:r>
        <w:rPr>
          <w:rFonts w:hint="eastAsia" w:ascii="宋体" w:hAnsi="宋体"/>
          <w:b/>
          <w:color w:val="FF0000"/>
          <w:sz w:val="24"/>
          <w:szCs w:val="24"/>
        </w:rPr>
        <w:t>（大写：</w:t>
      </w:r>
      <w:r>
        <w:rPr>
          <w:rFonts w:hint="eastAsia" w:ascii="宋体" w:hAnsi="宋体"/>
          <w:b/>
          <w:color w:val="FF0000"/>
          <w:sz w:val="24"/>
          <w:szCs w:val="24"/>
          <w:lang w:val="en-US" w:eastAsia="zh-CN"/>
        </w:rPr>
        <w:t>捌佰陆拾元每平方米</w:t>
      </w:r>
      <w:r>
        <w:rPr>
          <w:rFonts w:hint="eastAsia" w:ascii="宋体" w:hAnsi="宋体"/>
          <w:b/>
          <w:color w:val="FF0000"/>
          <w:sz w:val="24"/>
          <w:szCs w:val="24"/>
        </w:rPr>
        <w:t>）</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widowControl w:val="0"/>
        <w:numPr>
          <w:ilvl w:val="0"/>
          <w:numId w:val="0"/>
        </w:numPr>
        <w:spacing w:line="360" w:lineRule="auto"/>
        <w:jc w:val="both"/>
        <w:rPr>
          <w:rFonts w:hint="eastAsia" w:ascii="宋体" w:hAnsi="宋体"/>
          <w:b/>
          <w:color w:val="FF0000"/>
          <w:sz w:val="24"/>
          <w:szCs w:val="24"/>
        </w:rPr>
      </w:pP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29</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tabs>
          <w:tab w:val="left" w:pos="4134"/>
        </w:tabs>
        <w:snapToGrid w:val="0"/>
        <w:spacing w:line="480" w:lineRule="auto"/>
        <w:rPr>
          <w:rFonts w:hint="eastAsia" w:ascii="宋体" w:hAnsi="宋体" w:cs="宋体"/>
          <w:szCs w:val="22"/>
          <w:lang w:eastAsia="zh-CN"/>
        </w:rPr>
      </w:pPr>
      <w:r>
        <w:rPr>
          <w:rFonts w:hint="eastAsia" w:ascii="宋体" w:hAnsi="宋体" w:cs="宋体"/>
          <w:szCs w:val="22"/>
        </w:rPr>
        <w:t>附件2</w:t>
      </w:r>
      <w:r>
        <w:rPr>
          <w:rFonts w:hint="eastAsia" w:ascii="宋体" w:hAnsi="宋体" w:cs="宋体"/>
          <w:szCs w:val="22"/>
          <w:lang w:eastAsia="zh-CN"/>
        </w:rPr>
        <w:tab/>
      </w:r>
    </w:p>
    <w:p>
      <w:pPr>
        <w:pStyle w:val="21"/>
        <w:tabs>
          <w:tab w:val="left" w:pos="4134"/>
        </w:tabs>
        <w:snapToGrid w:val="0"/>
        <w:spacing w:line="480" w:lineRule="auto"/>
        <w:rPr>
          <w:rFonts w:hint="eastAsia" w:ascii="宋体" w:hAnsi="宋体" w:cs="宋体"/>
          <w:szCs w:val="22"/>
          <w:lang w:eastAsia="zh-CN"/>
        </w:rPr>
      </w:pPr>
    </w:p>
    <w:p>
      <w:pPr>
        <w:pStyle w:val="21"/>
        <w:snapToGrid w:val="0"/>
        <w:spacing w:line="480" w:lineRule="auto"/>
        <w:rPr>
          <w:rFonts w:hint="eastAsia" w:ascii="宋体" w:hAnsi="宋体" w:cs="宋体"/>
          <w:szCs w:val="22"/>
        </w:rPr>
      </w:pPr>
    </w:p>
    <w:p>
      <w:pPr>
        <w:autoSpaceDE w:val="0"/>
        <w:autoSpaceDN w:val="0"/>
        <w:adjustRightInd w:val="0"/>
        <w:spacing w:line="360" w:lineRule="auto"/>
        <w:ind w:firstLine="150"/>
        <w:jc w:val="center"/>
        <w:rPr>
          <w:rFonts w:hint="default" w:ascii="Times New Roman" w:hAnsi="Times New Roman" w:cs="宋体"/>
          <w:b/>
          <w:bCs/>
          <w:sz w:val="28"/>
          <w:szCs w:val="28"/>
          <w:lang w:val="en-US" w:eastAsia="zh-CN"/>
        </w:rPr>
      </w:pPr>
      <w:bookmarkStart w:id="0" w:name="_Toc446403450"/>
      <w:bookmarkStart w:id="1" w:name="_Toc467017359"/>
      <w:bookmarkStart w:id="2" w:name="_Toc445708193"/>
      <w:r>
        <w:rPr>
          <w:rFonts w:hint="eastAsia" w:ascii="Times New Roman" w:hAnsi="Times New Roman" w:cs="宋体"/>
          <w:b/>
          <w:bCs/>
          <w:sz w:val="28"/>
          <w:szCs w:val="28"/>
          <w:lang w:val="en-US" w:eastAsia="zh-CN"/>
        </w:rPr>
        <w:t>炼铁烧结风箱耐磨内衬更换技术要求</w:t>
      </w:r>
    </w:p>
    <w:p>
      <w:pPr>
        <w:numPr>
          <w:ilvl w:val="0"/>
          <w:numId w:val="0"/>
        </w:numPr>
        <w:autoSpaceDE w:val="0"/>
        <w:autoSpaceDN w:val="0"/>
        <w:adjustRightInd w:val="0"/>
        <w:spacing w:line="360" w:lineRule="auto"/>
        <w:ind w:firstLine="241" w:firstLineChars="100"/>
        <w:rPr>
          <w:rFonts w:hint="eastAsia" w:ascii="Times New Roman" w:hAnsi="Times New Roman" w:cs="宋体"/>
          <w:b/>
          <w:bCs/>
          <w:sz w:val="24"/>
          <w:szCs w:val="24"/>
          <w:lang w:val="en-US" w:eastAsia="zh-CN"/>
        </w:rPr>
      </w:pPr>
      <w:r>
        <w:rPr>
          <w:rFonts w:hint="eastAsia" w:ascii="Times New Roman" w:hAnsi="Times New Roman" w:cs="宋体"/>
          <w:b/>
          <w:bCs/>
          <w:sz w:val="24"/>
          <w:szCs w:val="24"/>
          <w:lang w:val="en-US" w:eastAsia="zh-CN"/>
        </w:rPr>
        <w:t>一、施工内容</w:t>
      </w:r>
    </w:p>
    <w:p>
      <w:pPr>
        <w:numPr>
          <w:ilvl w:val="0"/>
          <w:numId w:val="0"/>
        </w:numPr>
        <w:autoSpaceDE w:val="0"/>
        <w:autoSpaceDN w:val="0"/>
        <w:adjustRightInd w:val="0"/>
        <w:spacing w:line="360" w:lineRule="auto"/>
        <w:ind w:firstLine="480" w:firstLineChars="200"/>
        <w:rPr>
          <w:rFonts w:hint="eastAsia" w:ascii="Times New Roman" w:hAnsi="Times New Roman" w:cs="宋体"/>
          <w:sz w:val="24"/>
          <w:szCs w:val="24"/>
          <w:lang w:val="en-US" w:eastAsia="zh-CN"/>
        </w:rPr>
      </w:pPr>
      <w:r>
        <w:rPr>
          <w:rFonts w:hint="eastAsia" w:ascii="Times New Roman" w:hAnsi="Times New Roman" w:cs="宋体"/>
          <w:sz w:val="24"/>
          <w:szCs w:val="24"/>
          <w:lang w:val="en-US" w:eastAsia="zh-CN"/>
        </w:rPr>
        <w:t>炼铁部两组烧结机风箱耐磨内衬拆除、更换。</w:t>
      </w:r>
    </w:p>
    <w:p>
      <w:pPr>
        <w:numPr>
          <w:ilvl w:val="0"/>
          <w:numId w:val="0"/>
        </w:numPr>
        <w:autoSpaceDE w:val="0"/>
        <w:autoSpaceDN w:val="0"/>
        <w:adjustRightInd w:val="0"/>
        <w:spacing w:line="360" w:lineRule="auto"/>
        <w:ind w:firstLine="241" w:firstLineChars="100"/>
        <w:rPr>
          <w:rFonts w:hint="eastAsia" w:ascii="Times New Roman" w:hAnsi="Times New Roman" w:cs="宋体"/>
          <w:b/>
          <w:bCs/>
          <w:sz w:val="24"/>
          <w:szCs w:val="24"/>
          <w:lang w:val="en-US" w:eastAsia="zh-CN"/>
        </w:rPr>
      </w:pPr>
      <w:r>
        <w:rPr>
          <w:rFonts w:hint="eastAsia" w:cs="宋体"/>
          <w:b/>
          <w:bCs/>
          <w:sz w:val="24"/>
          <w:szCs w:val="24"/>
          <w:lang w:val="en-US" w:eastAsia="zh-CN"/>
        </w:rPr>
        <w:t>二、</w:t>
      </w:r>
      <w:r>
        <w:rPr>
          <w:rFonts w:hint="eastAsia" w:ascii="Times New Roman" w:hAnsi="Times New Roman" w:cs="宋体"/>
          <w:b/>
          <w:bCs/>
          <w:sz w:val="24"/>
          <w:szCs w:val="24"/>
          <w:lang w:val="en-US" w:eastAsia="zh-CN"/>
        </w:rPr>
        <w:t>施工材料理化指标</w:t>
      </w:r>
    </w:p>
    <w:bookmarkEnd w:id="0"/>
    <w:bookmarkEnd w:id="1"/>
    <w:bookmarkEnd w:id="2"/>
    <w:p>
      <w:pPr>
        <w:autoSpaceDE w:val="0"/>
        <w:autoSpaceDN w:val="0"/>
        <w:adjustRightInd w:val="0"/>
        <w:spacing w:line="360" w:lineRule="auto"/>
        <w:ind w:firstLine="150"/>
        <w:rPr>
          <w:rFonts w:ascii="Times New Roman" w:hAnsi="Times New Roman" w:cs="宋体"/>
          <w:sz w:val="24"/>
          <w:szCs w:val="24"/>
          <w:lang w:val="zh-CN"/>
        </w:rPr>
      </w:pPr>
      <w:r>
        <w:rPr>
          <w:rFonts w:hint="eastAsia" w:ascii="Times New Roman" w:hAnsi="Times New Roman" w:cs="宋体"/>
          <w:sz w:val="24"/>
          <w:szCs w:val="24"/>
          <w:lang w:val="zh-CN"/>
        </w:rPr>
        <w:t>烧结机风箱用高强陶瓷耐磨料理化指标</w:t>
      </w:r>
    </w:p>
    <w:tbl>
      <w:tblPr>
        <w:tblStyle w:val="10"/>
        <w:tblW w:w="860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72" w:type="dxa"/>
          <w:left w:w="57" w:type="dxa"/>
          <w:bottom w:w="72" w:type="dxa"/>
          <w:right w:w="57" w:type="dxa"/>
        </w:tblCellMar>
      </w:tblPr>
      <w:tblGrid>
        <w:gridCol w:w="2834"/>
        <w:gridCol w:w="2694"/>
        <w:gridCol w:w="307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12"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项  目</w:t>
            </w:r>
          </w:p>
        </w:tc>
        <w:tc>
          <w:tcPr>
            <w:tcW w:w="2694" w:type="dxa"/>
            <w:tcBorders>
              <w:top w:val="single" w:color="000000" w:sz="12" w:space="0"/>
              <w:left w:val="single" w:color="000000" w:sz="6" w:space="0"/>
              <w:bottom w:val="single" w:color="000000" w:sz="6" w:space="0"/>
              <w:right w:val="single" w:color="000000" w:sz="6" w:space="0"/>
            </w:tcBorders>
            <w:vAlign w:val="top"/>
          </w:tcPr>
          <w:p>
            <w:pPr>
              <w:widowControl w:val="0"/>
              <w:ind w:left="0" w:firstLine="0" w:firstLineChars="0"/>
              <w:jc w:val="center"/>
              <w:rPr>
                <w:rFonts w:hint="eastAsia"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温度区间</w:t>
            </w:r>
          </w:p>
        </w:tc>
        <w:tc>
          <w:tcPr>
            <w:tcW w:w="3072" w:type="dxa"/>
            <w:tcBorders>
              <w:top w:val="single" w:color="000000" w:sz="12"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性能指标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6"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ascii="Times New Roman" w:hAnsi="Times New Roman" w:eastAsia="宋体" w:cs="Times New Roman"/>
                <w:kern w:val="2"/>
                <w:sz w:val="22"/>
                <w:szCs w:val="18"/>
                <w:lang w:val="en-US" w:eastAsia="zh-CN" w:bidi="ar-SA"/>
              </w:rPr>
              <w:t>Al</w:t>
            </w:r>
            <w:r>
              <w:rPr>
                <w:rFonts w:ascii="Times New Roman" w:hAnsi="Times New Roman" w:eastAsia="宋体" w:cs="Times New Roman"/>
                <w:kern w:val="2"/>
                <w:sz w:val="22"/>
                <w:szCs w:val="18"/>
                <w:vertAlign w:val="subscript"/>
                <w:lang w:val="en-US" w:eastAsia="zh-CN" w:bidi="ar-SA"/>
              </w:rPr>
              <w:t>2</w:t>
            </w:r>
            <w:r>
              <w:rPr>
                <w:rFonts w:ascii="Times New Roman" w:hAnsi="Times New Roman" w:eastAsia="宋体" w:cs="Times New Roman"/>
                <w:kern w:val="2"/>
                <w:sz w:val="22"/>
                <w:szCs w:val="18"/>
                <w:lang w:val="en-US" w:eastAsia="zh-CN" w:bidi="ar-SA"/>
              </w:rPr>
              <w:t>O</w:t>
            </w:r>
            <w:r>
              <w:rPr>
                <w:rFonts w:ascii="Times New Roman" w:hAnsi="Times New Roman" w:eastAsia="宋体" w:cs="Times New Roman"/>
                <w:kern w:val="2"/>
                <w:sz w:val="22"/>
                <w:szCs w:val="18"/>
                <w:vertAlign w:val="subscript"/>
                <w:lang w:val="en-US" w:eastAsia="zh-CN" w:bidi="ar-SA"/>
              </w:rPr>
              <w:t>3</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p>
        </w:tc>
        <w:tc>
          <w:tcPr>
            <w:tcW w:w="3072" w:type="dxa"/>
            <w:tcBorders>
              <w:top w:val="single" w:color="000000" w:sz="6"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≥60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6"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耐压强度MPa</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110℃×24h</w:t>
            </w:r>
          </w:p>
        </w:tc>
        <w:tc>
          <w:tcPr>
            <w:tcW w:w="3072" w:type="dxa"/>
            <w:tcBorders>
              <w:top w:val="single" w:color="000000" w:sz="6"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6"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抗折强度MPa</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110℃×24h</w:t>
            </w:r>
          </w:p>
        </w:tc>
        <w:tc>
          <w:tcPr>
            <w:tcW w:w="3072" w:type="dxa"/>
            <w:tcBorders>
              <w:top w:val="single" w:color="000000" w:sz="6"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6"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体积密度 g/ cm</w:t>
            </w:r>
            <w:r>
              <w:rPr>
                <w:rFonts w:hint="eastAsia" w:ascii="Arial" w:hAnsi="Arial" w:eastAsia="宋体" w:cs="Arial"/>
                <w:color w:val="000000"/>
                <w:kern w:val="2"/>
                <w:sz w:val="22"/>
                <w:szCs w:val="22"/>
                <w:vertAlign w:val="superscript"/>
                <w:lang w:val="en-US" w:eastAsia="zh-CN" w:bidi="ar-SA"/>
              </w:rPr>
              <w:t>3</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110℃×24h</w:t>
            </w:r>
          </w:p>
        </w:tc>
        <w:tc>
          <w:tcPr>
            <w:tcW w:w="3072" w:type="dxa"/>
            <w:tcBorders>
              <w:top w:val="single" w:color="000000" w:sz="6"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6"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烧后线变化率 %</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600℃×3h</w:t>
            </w:r>
          </w:p>
        </w:tc>
        <w:tc>
          <w:tcPr>
            <w:tcW w:w="3072" w:type="dxa"/>
            <w:tcBorders>
              <w:top w:val="single" w:color="000000" w:sz="6"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-0.2~0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6"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耐磨值 cm</w:t>
            </w:r>
            <w:r>
              <w:rPr>
                <w:rFonts w:hint="eastAsia" w:ascii="Arial" w:hAnsi="Arial" w:eastAsia="宋体" w:cs="Arial"/>
                <w:color w:val="000000"/>
                <w:kern w:val="2"/>
                <w:sz w:val="22"/>
                <w:szCs w:val="22"/>
                <w:vertAlign w:val="superscript"/>
                <w:lang w:val="en-US" w:eastAsia="zh-CN" w:bidi="ar-SA"/>
              </w:rPr>
              <w:t>3</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p>
        </w:tc>
        <w:tc>
          <w:tcPr>
            <w:tcW w:w="3072" w:type="dxa"/>
            <w:tcBorders>
              <w:top w:val="single" w:color="000000" w:sz="6"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72" w:type="dxa"/>
            <w:left w:w="57" w:type="dxa"/>
            <w:bottom w:w="72" w:type="dxa"/>
            <w:right w:w="57" w:type="dxa"/>
          </w:tblCellMar>
        </w:tblPrEx>
        <w:trPr>
          <w:trHeight w:val="20" w:hRule="atLeast"/>
        </w:trPr>
        <w:tc>
          <w:tcPr>
            <w:tcW w:w="2834" w:type="dxa"/>
            <w:tcBorders>
              <w:top w:val="single" w:color="000000" w:sz="6" w:space="0"/>
              <w:left w:val="single" w:color="000000" w:sz="12"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使用温度</w:t>
            </w:r>
          </w:p>
        </w:tc>
        <w:tc>
          <w:tcPr>
            <w:tcW w:w="2694" w:type="dxa"/>
            <w:tcBorders>
              <w:top w:val="single" w:color="000000" w:sz="6" w:space="0"/>
              <w:left w:val="single" w:color="000000" w:sz="6" w:space="0"/>
              <w:bottom w:val="single" w:color="000000" w:sz="6" w:space="0"/>
              <w:right w:val="single" w:color="000000" w:sz="6"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p>
        </w:tc>
        <w:tc>
          <w:tcPr>
            <w:tcW w:w="3072" w:type="dxa"/>
            <w:tcBorders>
              <w:top w:val="single" w:color="000000" w:sz="6" w:space="0"/>
              <w:left w:val="single" w:color="000000" w:sz="6" w:space="0"/>
              <w:bottom w:val="single" w:color="000000" w:sz="6" w:space="0"/>
              <w:right w:val="single" w:color="000000" w:sz="12" w:space="0"/>
            </w:tcBorders>
            <w:vAlign w:val="top"/>
          </w:tcPr>
          <w:p>
            <w:pPr>
              <w:widowControl w:val="0"/>
              <w:ind w:left="0" w:firstLine="0" w:firstLineChars="0"/>
              <w:jc w:val="center"/>
              <w:rPr>
                <w:rFonts w:ascii="Arial" w:hAnsi="Arial" w:eastAsia="宋体" w:cs="Arial"/>
                <w:color w:val="000000"/>
                <w:kern w:val="2"/>
                <w:sz w:val="22"/>
                <w:szCs w:val="22"/>
                <w:lang w:val="en-US" w:eastAsia="zh-CN" w:bidi="ar-SA"/>
              </w:rPr>
            </w:pPr>
            <w:r>
              <w:rPr>
                <w:rFonts w:hint="eastAsia" w:ascii="Arial" w:hAnsi="Arial" w:eastAsia="宋体" w:cs="Arial"/>
                <w:color w:val="000000"/>
                <w:kern w:val="2"/>
                <w:sz w:val="22"/>
                <w:szCs w:val="22"/>
                <w:lang w:val="en-US" w:eastAsia="zh-CN" w:bidi="ar-SA"/>
              </w:rPr>
              <w:t>≤300℃</w:t>
            </w:r>
          </w:p>
        </w:tc>
      </w:tr>
    </w:tbl>
    <w:p>
      <w:pPr>
        <w:numPr>
          <w:ilvl w:val="0"/>
          <w:numId w:val="0"/>
        </w:numPr>
        <w:autoSpaceDE w:val="0"/>
        <w:autoSpaceDN w:val="0"/>
        <w:adjustRightInd w:val="0"/>
        <w:spacing w:line="360" w:lineRule="auto"/>
        <w:ind w:firstLine="241" w:firstLineChars="100"/>
        <w:rPr>
          <w:rFonts w:hint="eastAsia" w:cs="宋体"/>
          <w:b/>
          <w:bCs/>
          <w:sz w:val="24"/>
          <w:szCs w:val="24"/>
          <w:lang w:val="en-US" w:eastAsia="zh-CN"/>
        </w:rPr>
      </w:pPr>
      <w:r>
        <w:rPr>
          <w:rFonts w:hint="eastAsia" w:cs="宋体"/>
          <w:b/>
          <w:bCs/>
          <w:sz w:val="24"/>
          <w:szCs w:val="24"/>
          <w:lang w:val="en-US" w:eastAsia="zh-CN"/>
        </w:rPr>
        <w:t>三、施工量</w:t>
      </w:r>
    </w:p>
    <w:p>
      <w:pPr>
        <w:numPr>
          <w:ilvl w:val="0"/>
          <w:numId w:val="9"/>
        </w:num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风箱耐磨内衬更换约1400平米，包括旧耐磨衬板的拆除、新内衬的安装。</w:t>
      </w:r>
    </w:p>
    <w:p>
      <w:pPr>
        <w:numPr>
          <w:ilvl w:val="0"/>
          <w:numId w:val="9"/>
        </w:numPr>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施工前双方确认施工范围并拍照留存，施工结束、双方共同测量施工面积，签字确认留存，根据实际测量确定后的面积进行结算。</w:t>
      </w:r>
    </w:p>
    <w:p>
      <w:pPr>
        <w:numPr>
          <w:ilvl w:val="0"/>
          <w:numId w:val="0"/>
        </w:numPr>
        <w:autoSpaceDE w:val="0"/>
        <w:autoSpaceDN w:val="0"/>
        <w:adjustRightInd w:val="0"/>
        <w:spacing w:line="360" w:lineRule="auto"/>
        <w:ind w:firstLine="241" w:firstLineChars="100"/>
        <w:rPr>
          <w:rFonts w:hint="eastAsia" w:cs="宋体"/>
          <w:b/>
          <w:bCs/>
          <w:sz w:val="24"/>
          <w:szCs w:val="24"/>
          <w:lang w:val="en-US" w:eastAsia="zh-CN"/>
        </w:rPr>
      </w:pPr>
      <w:r>
        <w:rPr>
          <w:rFonts w:hint="eastAsia" w:cs="宋体"/>
          <w:b/>
          <w:bCs/>
          <w:sz w:val="24"/>
          <w:szCs w:val="24"/>
          <w:lang w:val="en-US" w:eastAsia="zh-CN"/>
        </w:rPr>
        <w:t>四、施工要求，</w:t>
      </w:r>
    </w:p>
    <w:p>
      <w:pPr>
        <w:widowControl w:val="0"/>
        <w:numPr>
          <w:ilvl w:val="0"/>
          <w:numId w:val="0"/>
        </w:numPr>
        <w:wordWrap/>
        <w:adjustRightInd/>
        <w:snapToGrid/>
        <w:spacing w:line="240" w:lineRule="auto"/>
        <w:ind w:leftChars="200" w:right="0" w:rightChars="0"/>
        <w:jc w:val="both"/>
        <w:textAlignment w:val="auto"/>
        <w:outlineLvl w:val="9"/>
        <w:rPr>
          <w:rFonts w:hint="eastAsia" w:ascii="Times New Roman" w:hAnsi="Times New Roman" w:cs="Times New Roman"/>
          <w:sz w:val="24"/>
          <w:szCs w:val="32"/>
          <w:lang w:val="en-US" w:eastAsia="zh-CN"/>
        </w:rPr>
      </w:pPr>
      <w:r>
        <w:rPr>
          <w:rFonts w:hint="eastAsia" w:ascii="宋体" w:hAnsi="宋体" w:cs="宋体"/>
          <w:b w:val="0"/>
          <w:bCs w:val="0"/>
          <w:sz w:val="20"/>
          <w:szCs w:val="22"/>
          <w:lang w:val="en-US" w:eastAsia="zh-CN"/>
        </w:rPr>
        <w:t>1、</w:t>
      </w:r>
      <w:r>
        <w:rPr>
          <w:rFonts w:hint="eastAsia" w:ascii="Times New Roman" w:hAnsi="Times New Roman" w:cs="Times New Roman"/>
          <w:sz w:val="24"/>
          <w:szCs w:val="32"/>
          <w:lang w:val="en-US" w:eastAsia="zh-CN"/>
        </w:rPr>
        <w:t>施工单位须在烧结一期、烧结二期停产检修期间，根据现场施工范围安排施工量。</w:t>
      </w:r>
    </w:p>
    <w:p>
      <w:pPr>
        <w:widowControl w:val="0"/>
        <w:numPr>
          <w:ilvl w:val="0"/>
          <w:numId w:val="0"/>
        </w:numPr>
        <w:wordWrap/>
        <w:adjustRightInd/>
        <w:snapToGrid/>
        <w:spacing w:line="240" w:lineRule="auto"/>
        <w:ind w:leftChars="200" w:right="0" w:rightChars="0"/>
        <w:jc w:val="both"/>
        <w:textAlignment w:val="auto"/>
        <w:outlineLvl w:val="9"/>
        <w:rPr>
          <w:rFonts w:hint="eastAsia" w:ascii="Times New Roman" w:hAnsi="Times New Roman" w:cs="Times New Roman"/>
          <w:sz w:val="24"/>
          <w:szCs w:val="32"/>
          <w:lang w:val="en-US" w:eastAsia="zh-CN"/>
        </w:rPr>
      </w:pPr>
      <w:r>
        <w:rPr>
          <w:rFonts w:hint="eastAsia" w:ascii="宋体" w:hAnsi="宋体" w:cs="宋体"/>
          <w:b w:val="0"/>
          <w:bCs w:val="0"/>
          <w:sz w:val="20"/>
          <w:szCs w:val="22"/>
          <w:lang w:val="en-US" w:eastAsia="zh-CN"/>
        </w:rPr>
        <w:t>2、</w:t>
      </w:r>
      <w:r>
        <w:rPr>
          <w:rFonts w:hint="eastAsia" w:ascii="Times New Roman" w:hAnsi="Times New Roman" w:cs="Times New Roman"/>
          <w:sz w:val="24"/>
          <w:szCs w:val="32"/>
          <w:lang w:val="en-US" w:eastAsia="zh-CN"/>
        </w:rPr>
        <w:t>检修所需材料、施工工器具、脚手架、防护设施等由施工单位负责，炼铁部可提供行车配合施工。</w:t>
      </w:r>
    </w:p>
    <w:p>
      <w:pPr>
        <w:widowControl w:val="0"/>
        <w:numPr>
          <w:ilvl w:val="0"/>
          <w:numId w:val="0"/>
        </w:numPr>
        <w:wordWrap/>
        <w:adjustRightInd/>
        <w:snapToGrid/>
        <w:spacing w:line="240" w:lineRule="auto"/>
        <w:ind w:leftChars="200" w:right="0" w:rightChars="0"/>
        <w:jc w:val="both"/>
        <w:textAlignment w:val="auto"/>
        <w:outlineLvl w:val="9"/>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3、施工期间必须服从业主单位的安全、现场等管理要求。</w:t>
      </w:r>
    </w:p>
    <w:p>
      <w:pPr>
        <w:widowControl w:val="0"/>
        <w:numPr>
          <w:ilvl w:val="0"/>
          <w:numId w:val="0"/>
        </w:numPr>
        <w:wordWrap/>
        <w:adjustRightInd/>
        <w:snapToGrid/>
        <w:spacing w:line="240" w:lineRule="auto"/>
        <w:ind w:leftChars="200" w:right="0" w:rightChars="0"/>
        <w:jc w:val="both"/>
        <w:textAlignment w:val="auto"/>
        <w:outlineLvl w:val="9"/>
        <w:rPr>
          <w:rFonts w:hint="eastAsia" w:ascii="Times New Roman" w:hAnsi="Times New Roman" w:cs="Times New Roman"/>
          <w:sz w:val="24"/>
          <w:szCs w:val="32"/>
          <w:lang w:val="en-US" w:eastAsia="zh-CN"/>
        </w:rPr>
      </w:pPr>
      <w:r>
        <w:rPr>
          <w:rFonts w:hint="eastAsia" w:ascii="Times New Roman" w:hAnsi="Times New Roman" w:cs="Times New Roman"/>
          <w:sz w:val="24"/>
          <w:szCs w:val="32"/>
          <w:lang w:val="en-US" w:eastAsia="zh-CN"/>
        </w:rPr>
        <w:t>4、如涉及主项工期，施工项目施工顺序及结束时间等施工节点必须无条件服从业主安排。</w:t>
      </w:r>
    </w:p>
    <w:p>
      <w:pPr>
        <w:widowControl w:val="0"/>
        <w:numPr>
          <w:ilvl w:val="0"/>
          <w:numId w:val="0"/>
        </w:numPr>
        <w:wordWrap/>
        <w:adjustRightInd/>
        <w:snapToGrid/>
        <w:spacing w:line="240" w:lineRule="auto"/>
        <w:ind w:leftChars="200" w:right="0" w:rightChars="0"/>
        <w:jc w:val="both"/>
        <w:textAlignment w:val="auto"/>
        <w:outlineLvl w:val="9"/>
        <w:rPr>
          <w:rFonts w:hint="eastAsia" w:ascii="Times New Roman" w:hAnsi="Times New Roman" w:cs="Times New Roman"/>
          <w:sz w:val="24"/>
          <w:szCs w:val="32"/>
          <w:lang w:val="en-US" w:eastAsia="zh-CN"/>
        </w:rPr>
      </w:pPr>
      <w:r>
        <w:rPr>
          <w:rFonts w:hint="eastAsia" w:ascii="宋体" w:hAnsi="宋体" w:eastAsia="宋体" w:cs="黑体"/>
          <w:b w:val="0"/>
          <w:bCs w:val="0"/>
          <w:kern w:val="2"/>
          <w:sz w:val="24"/>
          <w:szCs w:val="24"/>
          <w:lang w:val="en-US" w:eastAsia="zh-CN" w:bidi="ar-SA"/>
        </w:rPr>
        <w:t>5、施工结束后，拆除的旧龟甲网、内衬等废旧物资集中堆放的指定地点，废钢放入废钢</w:t>
      </w:r>
      <w:r>
        <w:rPr>
          <w:rFonts w:hint="eastAsia" w:ascii="Times New Roman" w:hAnsi="Times New Roman" w:cs="Times New Roman"/>
          <w:sz w:val="24"/>
          <w:szCs w:val="32"/>
          <w:lang w:val="en-US" w:eastAsia="zh-CN"/>
        </w:rPr>
        <w:t>斗内，废旧耐材返厂，施工现场做到“工完、料净、场地清”。</w:t>
      </w:r>
    </w:p>
    <w:p>
      <w:pPr>
        <w:pStyle w:val="23"/>
        <w:spacing w:line="400" w:lineRule="exact"/>
        <w:rPr>
          <w:rFonts w:hint="eastAsia" w:ascii="宋体" w:hAnsi="宋体" w:eastAsia="宋体"/>
          <w:b w:val="0"/>
          <w:bCs w:val="0"/>
          <w:sz w:val="24"/>
          <w:szCs w:val="24"/>
          <w:lang w:val="en-US" w:eastAsia="zh-CN"/>
        </w:rPr>
      </w:pPr>
      <w:r>
        <w:rPr>
          <w:rFonts w:hint="eastAsia" w:ascii="宋体" w:hAnsi="宋体" w:eastAsia="宋体"/>
          <w:b/>
          <w:bCs/>
          <w:sz w:val="24"/>
          <w:szCs w:val="24"/>
          <w:lang w:val="en-US" w:eastAsia="zh-CN"/>
        </w:rPr>
        <w:t>五、施工验收</w:t>
      </w:r>
    </w:p>
    <w:p>
      <w:pPr>
        <w:pStyle w:val="23"/>
        <w:widowControl w:val="0"/>
        <w:wordWrap/>
        <w:autoSpaceDE w:val="0"/>
        <w:autoSpaceDN w:val="0"/>
        <w:adjustRightInd/>
        <w:snapToGrid/>
        <w:spacing w:before="61" w:line="400" w:lineRule="exact"/>
        <w:ind w:left="0" w:leftChars="0" w:right="0" w:firstLine="480" w:firstLineChars="200"/>
        <w:jc w:val="left"/>
        <w:textAlignment w:val="auto"/>
        <w:outlineLvl w:val="3"/>
        <w:rPr>
          <w:rFonts w:hint="eastAsia" w:ascii="宋体" w:hAnsi="宋体" w:eastAsia="宋体"/>
          <w:b w:val="0"/>
          <w:bCs w:val="0"/>
          <w:sz w:val="24"/>
          <w:szCs w:val="24"/>
          <w:lang w:val="en-US"/>
        </w:rPr>
      </w:pPr>
      <w:r>
        <w:rPr>
          <w:rFonts w:hint="eastAsia" w:ascii="宋体" w:hAnsi="宋体" w:eastAsia="宋体"/>
          <w:b w:val="0"/>
          <w:bCs w:val="0"/>
          <w:sz w:val="24"/>
          <w:szCs w:val="24"/>
          <w:lang w:val="en-US" w:eastAsia="zh-CN"/>
        </w:rPr>
        <w:t>1、</w:t>
      </w:r>
      <w:r>
        <w:rPr>
          <w:rFonts w:hint="eastAsia" w:ascii="宋体" w:hAnsi="宋体" w:eastAsia="宋体"/>
          <w:b w:val="0"/>
          <w:bCs w:val="0"/>
          <w:sz w:val="24"/>
          <w:szCs w:val="24"/>
          <w:lang w:val="en-US"/>
        </w:rPr>
        <w:t>施工完成投用3个月后，双方当面组织验收，采用空心水钻取样测量厚度（施工厚度-磨损厚度/12＞</w:t>
      </w:r>
      <w:r>
        <w:rPr>
          <w:rFonts w:hint="eastAsia" w:ascii="宋体" w:hAnsi="宋体" w:eastAsia="宋体"/>
          <w:b w:val="0"/>
          <w:bCs w:val="0"/>
          <w:sz w:val="24"/>
          <w:szCs w:val="24"/>
          <w:lang w:val="en-US" w:eastAsia="zh-CN"/>
        </w:rPr>
        <w:t>1/6或1/12</w:t>
      </w:r>
      <w:r>
        <w:rPr>
          <w:rFonts w:hint="eastAsia" w:ascii="宋体" w:hAnsi="宋体" w:eastAsia="宋体"/>
          <w:b w:val="0"/>
          <w:bCs w:val="0"/>
          <w:sz w:val="24"/>
          <w:szCs w:val="24"/>
          <w:lang w:val="en-US"/>
        </w:rPr>
        <w:t>），测量厚度合格后按照合同要求支付费用，如果不合格可以6个月继续验收，第二次不合格，不予支付费用</w:t>
      </w:r>
      <w:r>
        <w:rPr>
          <w:rFonts w:hint="eastAsia" w:ascii="宋体" w:hAnsi="宋体" w:eastAsia="宋体"/>
          <w:b w:val="0"/>
          <w:bCs w:val="0"/>
          <w:sz w:val="24"/>
          <w:szCs w:val="24"/>
          <w:lang w:val="en-US" w:eastAsia="zh-CN"/>
        </w:rPr>
        <w:t>。</w:t>
      </w:r>
    </w:p>
    <w:p>
      <w:pPr>
        <w:pStyle w:val="23"/>
        <w:widowControl w:val="0"/>
        <w:wordWrap/>
        <w:autoSpaceDE w:val="0"/>
        <w:autoSpaceDN w:val="0"/>
        <w:adjustRightInd/>
        <w:snapToGrid/>
        <w:spacing w:before="61" w:line="400" w:lineRule="exact"/>
        <w:ind w:left="0" w:leftChars="0" w:right="0" w:firstLine="480" w:firstLineChars="200"/>
        <w:jc w:val="left"/>
        <w:textAlignment w:val="auto"/>
        <w:outlineLvl w:val="3"/>
        <w:rPr>
          <w:rFonts w:hint="eastAsia" w:ascii="宋体" w:hAnsi="宋体" w:eastAsia="宋体"/>
          <w:b w:val="0"/>
          <w:bCs w:val="0"/>
          <w:sz w:val="24"/>
          <w:szCs w:val="24"/>
          <w:lang w:val="en-US"/>
        </w:rPr>
      </w:pPr>
      <w:r>
        <w:rPr>
          <w:rFonts w:hint="eastAsia" w:ascii="宋体" w:hAnsi="宋体" w:eastAsia="宋体"/>
          <w:b w:val="0"/>
          <w:bCs w:val="0"/>
          <w:sz w:val="24"/>
          <w:szCs w:val="24"/>
          <w:lang w:val="en-US" w:eastAsia="zh-CN"/>
        </w:rPr>
        <w:t>2、施工后耐磨内衬不得出现脱落现象，如果出现脱落只给一次修补机会，脱落部分恢复后重新进行验收。</w:t>
      </w:r>
    </w:p>
    <w:p>
      <w:pPr>
        <w:pStyle w:val="23"/>
        <w:widowControl w:val="0"/>
        <w:numPr>
          <w:ilvl w:val="0"/>
          <w:numId w:val="0"/>
        </w:numPr>
        <w:wordWrap/>
        <w:autoSpaceDE w:val="0"/>
        <w:autoSpaceDN w:val="0"/>
        <w:adjustRightInd/>
        <w:snapToGrid/>
        <w:spacing w:before="61" w:line="400" w:lineRule="exact"/>
        <w:ind w:leftChars="200" w:right="0" w:rightChars="0"/>
        <w:jc w:val="left"/>
        <w:textAlignment w:val="auto"/>
        <w:outlineLvl w:val="3"/>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六、质保期</w:t>
      </w:r>
    </w:p>
    <w:p>
      <w:pPr>
        <w:pStyle w:val="23"/>
        <w:widowControl w:val="0"/>
        <w:numPr>
          <w:ilvl w:val="0"/>
          <w:numId w:val="0"/>
        </w:numPr>
        <w:wordWrap/>
        <w:autoSpaceDE w:val="0"/>
        <w:autoSpaceDN w:val="0"/>
        <w:adjustRightInd/>
        <w:snapToGrid/>
        <w:spacing w:before="61" w:line="400" w:lineRule="exact"/>
        <w:ind w:leftChars="200" w:right="0"/>
        <w:jc w:val="left"/>
        <w:textAlignment w:val="auto"/>
        <w:outlineLvl w:val="3"/>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质保期18个月。</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0"/>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炼铁部烧结风箱耐磨内衬更换</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045"/>
        <w:gridCol w:w="476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40" w:type="pct"/>
            <w:noWrap w:val="0"/>
            <w:vAlign w:val="center"/>
          </w:tcPr>
          <w:p>
            <w:pPr>
              <w:jc w:val="center"/>
              <w:rPr>
                <w:rFonts w:hint="eastAsia"/>
                <w:sz w:val="18"/>
                <w:szCs w:val="18"/>
              </w:rPr>
            </w:pPr>
            <w:r>
              <w:rPr>
                <w:rFonts w:hint="eastAsia"/>
                <w:sz w:val="18"/>
                <w:szCs w:val="18"/>
              </w:rPr>
              <w:t>序号</w:t>
            </w:r>
          </w:p>
        </w:tc>
        <w:tc>
          <w:tcPr>
            <w:tcW w:w="1149" w:type="pct"/>
            <w:noWrap w:val="0"/>
            <w:vAlign w:val="center"/>
          </w:tcPr>
          <w:p>
            <w:pPr>
              <w:jc w:val="center"/>
              <w:rPr>
                <w:sz w:val="18"/>
                <w:szCs w:val="18"/>
              </w:rPr>
            </w:pPr>
            <w:r>
              <w:rPr>
                <w:rFonts w:hint="eastAsia"/>
                <w:sz w:val="18"/>
                <w:szCs w:val="18"/>
              </w:rPr>
              <w:t>物资名称</w:t>
            </w:r>
          </w:p>
          <w:p>
            <w:pPr>
              <w:jc w:val="center"/>
              <w:rPr>
                <w:rFonts w:hint="eastAsia"/>
                <w:sz w:val="18"/>
                <w:szCs w:val="18"/>
              </w:rPr>
            </w:pPr>
            <w:r>
              <w:rPr>
                <w:rFonts w:hint="eastAsia"/>
                <w:sz w:val="18"/>
                <w:szCs w:val="18"/>
              </w:rPr>
              <w:t xml:space="preserve"> </w:t>
            </w:r>
          </w:p>
        </w:tc>
        <w:tc>
          <w:tcPr>
            <w:tcW w:w="2676" w:type="pct"/>
            <w:noWrap w:val="0"/>
            <w:vAlign w:val="center"/>
          </w:tcPr>
          <w:p>
            <w:pPr>
              <w:jc w:val="center"/>
              <w:rPr>
                <w:rFonts w:hint="eastAsia" w:eastAsia="宋体"/>
                <w:sz w:val="18"/>
                <w:szCs w:val="18"/>
                <w:lang w:eastAsia="zh-CN"/>
              </w:rPr>
            </w:pPr>
            <w:r>
              <w:rPr>
                <w:rFonts w:hint="eastAsia"/>
                <w:sz w:val="18"/>
                <w:szCs w:val="18"/>
              </w:rPr>
              <w:t>含税、含运费报价</w:t>
            </w:r>
            <w:r>
              <w:rPr>
                <w:rFonts w:hint="eastAsia"/>
                <w:sz w:val="18"/>
                <w:szCs w:val="18"/>
                <w:lang w:eastAsia="zh-CN"/>
              </w:rPr>
              <w:t>（</w:t>
            </w:r>
            <w:r>
              <w:rPr>
                <w:rFonts w:hint="eastAsia"/>
                <w:sz w:val="18"/>
                <w:szCs w:val="18"/>
              </w:rPr>
              <w:t>元/</w:t>
            </w:r>
            <w:r>
              <w:rPr>
                <w:rFonts w:hint="eastAsia"/>
                <w:sz w:val="18"/>
                <w:szCs w:val="18"/>
                <w:lang w:val="en-US" w:eastAsia="zh-CN"/>
              </w:rPr>
              <w:t>㎡</w:t>
            </w:r>
            <w:r>
              <w:rPr>
                <w:rFonts w:hint="eastAsia"/>
                <w:sz w:val="18"/>
                <w:szCs w:val="18"/>
                <w:lang w:eastAsia="zh-CN"/>
              </w:rPr>
              <w:t>）</w:t>
            </w:r>
          </w:p>
        </w:tc>
        <w:tc>
          <w:tcPr>
            <w:tcW w:w="833" w:type="pct"/>
            <w:noWrap w:val="0"/>
            <w:vAlign w:val="center"/>
          </w:tcPr>
          <w:p>
            <w:pPr>
              <w:jc w:val="center"/>
              <w:rPr>
                <w:rFonts w:hint="eastAsia"/>
                <w:sz w:val="18"/>
                <w:szCs w:val="18"/>
              </w:rPr>
            </w:pPr>
            <w:r>
              <w:rPr>
                <w:rFonts w:hint="eastAsia" w:ascii="宋体" w:hAnsi="宋体"/>
                <w:b/>
                <w:color w:val="FF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340" w:type="pct"/>
            <w:vMerge w:val="restart"/>
            <w:noWrap w:val="0"/>
            <w:vAlign w:val="center"/>
          </w:tcPr>
          <w:p>
            <w:pPr>
              <w:jc w:val="center"/>
              <w:rPr>
                <w:sz w:val="24"/>
                <w:szCs w:val="24"/>
              </w:rPr>
            </w:pPr>
            <w:r>
              <w:rPr>
                <w:rFonts w:hint="eastAsia"/>
                <w:sz w:val="24"/>
                <w:szCs w:val="24"/>
              </w:rPr>
              <w:t>1</w:t>
            </w:r>
          </w:p>
        </w:tc>
        <w:tc>
          <w:tcPr>
            <w:tcW w:w="1149" w:type="pct"/>
            <w:vMerge w:val="restart"/>
            <w:noWrap w:val="0"/>
            <w:vAlign w:val="center"/>
          </w:tcPr>
          <w:p>
            <w:pPr>
              <w:spacing w:line="400" w:lineRule="exact"/>
              <w:jc w:val="center"/>
              <w:rPr>
                <w:rFonts w:hint="eastAsia" w:ascii="宋体" w:hAnsi="宋体"/>
                <w:b/>
                <w:color w:val="000000"/>
                <w:sz w:val="24"/>
                <w:szCs w:val="24"/>
              </w:rPr>
            </w:pPr>
            <w:r>
              <w:rPr>
                <w:rFonts w:hint="eastAsia" w:ascii="宋体" w:hAnsi="宋体"/>
                <w:b/>
                <w:color w:val="FF0000"/>
                <w:sz w:val="28"/>
                <w:szCs w:val="28"/>
              </w:rPr>
              <w:t>烧结风箱耐磨内衬更换</w:t>
            </w:r>
          </w:p>
        </w:tc>
        <w:tc>
          <w:tcPr>
            <w:tcW w:w="2676"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小写：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833" w:type="pct"/>
            <w:vMerge w:val="restart"/>
            <w:noWrap w:val="0"/>
            <w:vAlign w:val="top"/>
          </w:tcPr>
          <w:p>
            <w:pPr>
              <w:spacing w:line="400" w:lineRule="exact"/>
              <w:rPr>
                <w:rFonts w:hint="eastAsia" w:ascii="宋体" w:hAnsi="宋体"/>
                <w:b/>
                <w:color w:val="FF0000"/>
                <w:sz w:val="28"/>
                <w:szCs w:val="28"/>
              </w:rPr>
            </w:pPr>
          </w:p>
          <w:p>
            <w:pPr>
              <w:spacing w:line="400" w:lineRule="exact"/>
              <w:rPr>
                <w:rFonts w:hint="eastAsia" w:ascii="宋体" w:hAnsi="宋体"/>
                <w:b/>
                <w:color w:val="FF0000"/>
                <w:sz w:val="28"/>
                <w:szCs w:val="28"/>
              </w:rPr>
            </w:pPr>
            <w:r>
              <w:rPr>
                <w:rFonts w:hint="eastAsia" w:ascii="宋体" w:hAnsi="宋体"/>
                <w:b/>
                <w:color w:val="FF0000"/>
                <w:sz w:val="28"/>
                <w:szCs w:val="28"/>
              </w:rPr>
              <w:t>包工包料含税、含运费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340" w:type="pct"/>
            <w:vMerge w:val="continue"/>
            <w:noWrap w:val="0"/>
            <w:vAlign w:val="center"/>
          </w:tcPr>
          <w:p>
            <w:pPr>
              <w:jc w:val="center"/>
              <w:rPr>
                <w:rFonts w:hint="eastAsia"/>
                <w:sz w:val="24"/>
                <w:szCs w:val="24"/>
              </w:rPr>
            </w:pPr>
          </w:p>
        </w:tc>
        <w:tc>
          <w:tcPr>
            <w:tcW w:w="1149" w:type="pct"/>
            <w:vMerge w:val="continue"/>
            <w:noWrap w:val="0"/>
            <w:vAlign w:val="center"/>
          </w:tcPr>
          <w:p>
            <w:pPr>
              <w:jc w:val="center"/>
              <w:rPr>
                <w:rFonts w:hint="eastAsia"/>
                <w:sz w:val="24"/>
                <w:szCs w:val="24"/>
              </w:rPr>
            </w:pPr>
          </w:p>
        </w:tc>
        <w:tc>
          <w:tcPr>
            <w:tcW w:w="2676" w:type="pct"/>
            <w:noWrap w:val="0"/>
            <w:vAlign w:val="top"/>
          </w:tcPr>
          <w:p>
            <w:pPr>
              <w:jc w:val="left"/>
              <w:rPr>
                <w:rFonts w:hint="eastAsia"/>
                <w:sz w:val="24"/>
                <w:szCs w:val="24"/>
              </w:rPr>
            </w:pPr>
          </w:p>
          <w:p>
            <w:pPr>
              <w:jc w:val="left"/>
              <w:rPr>
                <w:rFonts w:hint="default" w:eastAsia="宋体"/>
                <w:sz w:val="24"/>
                <w:szCs w:val="24"/>
                <w:lang w:val="en-US" w:eastAsia="zh-CN"/>
              </w:rPr>
            </w:pPr>
            <w:r>
              <w:rPr>
                <w:rFonts w:hint="eastAsia"/>
                <w:sz w:val="24"/>
                <w:szCs w:val="24"/>
              </w:rPr>
              <w:t>大写：</w:t>
            </w:r>
            <w:r>
              <w:rPr>
                <w:rFonts w:hint="eastAsia"/>
                <w:sz w:val="24"/>
                <w:szCs w:val="24"/>
                <w:lang w:val="en-US" w:eastAsia="zh-CN"/>
              </w:rPr>
              <w:t xml:space="preserve">                       </w:t>
            </w:r>
            <w:r>
              <w:rPr>
                <w:rFonts w:hint="eastAsia"/>
                <w:sz w:val="18"/>
                <w:szCs w:val="18"/>
              </w:rPr>
              <w:t>元/</w:t>
            </w:r>
            <w:r>
              <w:rPr>
                <w:rFonts w:hint="eastAsia"/>
                <w:sz w:val="18"/>
                <w:szCs w:val="18"/>
                <w:lang w:val="en-US" w:eastAsia="zh-CN"/>
              </w:rPr>
              <w:t>㎡</w:t>
            </w:r>
          </w:p>
        </w:tc>
        <w:tc>
          <w:tcPr>
            <w:tcW w:w="833"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4"/>
            <w:noWrap w:val="0"/>
            <w:vAlign w:val="top"/>
          </w:tcPr>
          <w:p>
            <w:pPr>
              <w:rPr>
                <w:rFonts w:hint="eastAsia"/>
                <w:sz w:val="28"/>
                <w:szCs w:val="28"/>
              </w:rPr>
            </w:pPr>
            <w:r>
              <w:rPr>
                <w:rFonts w:hint="eastAsia"/>
                <w:sz w:val="28"/>
                <w:szCs w:val="28"/>
              </w:rPr>
              <w:t>备注: 以上报价含</w:t>
            </w:r>
            <w:r>
              <w:rPr>
                <w:rFonts w:hint="eastAsia"/>
                <w:sz w:val="28"/>
                <w:szCs w:val="28"/>
                <w:lang w:val="en-US" w:eastAsia="zh-CN"/>
              </w:rPr>
              <w:t>13%</w:t>
            </w:r>
            <w:r>
              <w:rPr>
                <w:rFonts w:hint="eastAsia"/>
                <w:sz w:val="28"/>
                <w:szCs w:val="28"/>
              </w:rPr>
              <w:t>税、含运费，一票制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000" w:type="pct"/>
            <w:gridSpan w:val="4"/>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4"/>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4"/>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pStyle w:val="9"/>
        <w:widowControl/>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9D4819"/>
    <w:multiLevelType w:val="singleLevel"/>
    <w:tmpl w:val="AD9D4819"/>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4">
    <w:nsid w:val="0000000B"/>
    <w:multiLevelType w:val="singleLevel"/>
    <w:tmpl w:val="0000000B"/>
    <w:lvl w:ilvl="0" w:tentative="0">
      <w:start w:val="1"/>
      <w:numFmt w:val="decimal"/>
      <w:lvlText w:val="（%1）"/>
      <w:lvlJc w:val="left"/>
      <w:pPr>
        <w:tabs>
          <w:tab w:val="left" w:pos="1125"/>
        </w:tabs>
        <w:ind w:left="1125" w:hanging="705"/>
      </w:pPr>
    </w:lvl>
  </w:abstractNum>
  <w:abstractNum w:abstractNumId="5">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7">
    <w:nsid w:val="0000000E"/>
    <w:multiLevelType w:val="singleLevel"/>
    <w:tmpl w:val="0000000E"/>
    <w:lvl w:ilvl="0" w:tentative="0">
      <w:start w:val="1"/>
      <w:numFmt w:val="decimal"/>
      <w:lvlText w:val="%1、"/>
      <w:lvlJc w:val="left"/>
      <w:pPr>
        <w:tabs>
          <w:tab w:val="left" w:pos="705"/>
        </w:tabs>
        <w:ind w:left="705" w:hanging="420"/>
      </w:pPr>
    </w:lvl>
  </w:abstractNum>
  <w:abstractNum w:abstractNumId="8">
    <w:nsid w:val="2C64BC62"/>
    <w:multiLevelType w:val="singleLevel"/>
    <w:tmpl w:val="2C64BC62"/>
    <w:lvl w:ilvl="0" w:tentative="0">
      <w:start w:val="1"/>
      <w:numFmt w:val="decimal"/>
      <w:lvlText w:val="%1."/>
      <w:lvlJc w:val="left"/>
      <w:pPr>
        <w:ind w:left="425" w:hanging="425"/>
      </w:pPr>
      <w:rPr>
        <w:rFonts w:hint="default"/>
      </w:rPr>
    </w:lvl>
  </w:abstractNum>
  <w:abstractNum w:abstractNumId="9">
    <w:nsid w:val="5AE2DA4B"/>
    <w:multiLevelType w:val="singleLevel"/>
    <w:tmpl w:val="5AE2DA4B"/>
    <w:lvl w:ilvl="0" w:tentative="0">
      <w:start w:val="14"/>
      <w:numFmt w:val="chineseCounting"/>
      <w:suff w:val="nothing"/>
      <w:lvlText w:val="%1、"/>
      <w:lvlJc w:val="left"/>
      <w:rPr>
        <w:rFonts w:hint="eastAsia"/>
      </w:rPr>
    </w:lvl>
  </w:abstractNum>
  <w:num w:numId="1">
    <w:abstractNumId w:val="3"/>
    <w:lvlOverride w:ilvl="0">
      <w:startOverride w:val="1"/>
    </w:lvlOverride>
  </w:num>
  <w:num w:numId="2">
    <w:abstractNumId w:val="7"/>
    <w:lvlOverride w:ilvl="0">
      <w:startOverride w:val="1"/>
    </w:lvlOverride>
  </w:num>
  <w:num w:numId="3">
    <w:abstractNumId w:val="6"/>
    <w:lvlOverride w:ilvl="0">
      <w:startOverride w:val="1"/>
    </w:lvlOverride>
  </w:num>
  <w:num w:numId="4">
    <w:abstractNumId w:val="4"/>
    <w:lvlOverride w:ilvl="0">
      <w:startOverride w:val="1"/>
    </w:lvlOverride>
  </w:num>
  <w:num w:numId="5">
    <w:abstractNumId w:val="5"/>
  </w:num>
  <w:num w:numId="6">
    <w:abstractNumId w:val="8"/>
  </w:num>
  <w:num w:numId="7">
    <w:abstractNumId w:val="9"/>
  </w:num>
  <w:num w:numId="8">
    <w:abstractNumId w:val="0"/>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4575E4"/>
    <w:rsid w:val="04823B21"/>
    <w:rsid w:val="05325D34"/>
    <w:rsid w:val="053B5FB3"/>
    <w:rsid w:val="05C52E89"/>
    <w:rsid w:val="06CB7169"/>
    <w:rsid w:val="07BA48CA"/>
    <w:rsid w:val="0831406E"/>
    <w:rsid w:val="085B58B3"/>
    <w:rsid w:val="08A96692"/>
    <w:rsid w:val="0BFF25BD"/>
    <w:rsid w:val="0CBC295F"/>
    <w:rsid w:val="0DF07D84"/>
    <w:rsid w:val="0E497616"/>
    <w:rsid w:val="0E842CB1"/>
    <w:rsid w:val="0F0803D8"/>
    <w:rsid w:val="0F347211"/>
    <w:rsid w:val="10CA64E1"/>
    <w:rsid w:val="110928F7"/>
    <w:rsid w:val="11563FC1"/>
    <w:rsid w:val="11654D47"/>
    <w:rsid w:val="135C10D5"/>
    <w:rsid w:val="139F3DA1"/>
    <w:rsid w:val="13D576D7"/>
    <w:rsid w:val="154D48F1"/>
    <w:rsid w:val="16541AFE"/>
    <w:rsid w:val="1694444C"/>
    <w:rsid w:val="17597414"/>
    <w:rsid w:val="17F97F08"/>
    <w:rsid w:val="18560C92"/>
    <w:rsid w:val="18ED4DB4"/>
    <w:rsid w:val="19B16948"/>
    <w:rsid w:val="1A8A6D05"/>
    <w:rsid w:val="1CCB1E53"/>
    <w:rsid w:val="1D2E11E1"/>
    <w:rsid w:val="1E937D02"/>
    <w:rsid w:val="1F107E3E"/>
    <w:rsid w:val="1F4242F7"/>
    <w:rsid w:val="1F802445"/>
    <w:rsid w:val="21133B37"/>
    <w:rsid w:val="21534F77"/>
    <w:rsid w:val="21A2160C"/>
    <w:rsid w:val="22B96773"/>
    <w:rsid w:val="22DB3301"/>
    <w:rsid w:val="22E00851"/>
    <w:rsid w:val="23CB766B"/>
    <w:rsid w:val="23D22DCD"/>
    <w:rsid w:val="25230E4D"/>
    <w:rsid w:val="25B129B0"/>
    <w:rsid w:val="26F50CB1"/>
    <w:rsid w:val="26F906B4"/>
    <w:rsid w:val="278055FF"/>
    <w:rsid w:val="288D3DC5"/>
    <w:rsid w:val="28E2171B"/>
    <w:rsid w:val="29401D6D"/>
    <w:rsid w:val="2BBB5AD5"/>
    <w:rsid w:val="2BF10F3E"/>
    <w:rsid w:val="2BF40243"/>
    <w:rsid w:val="2C204052"/>
    <w:rsid w:val="2C2B7BA8"/>
    <w:rsid w:val="2C4E01C4"/>
    <w:rsid w:val="2CF31D5E"/>
    <w:rsid w:val="2D3A3FC1"/>
    <w:rsid w:val="2E3D1B0F"/>
    <w:rsid w:val="3036622A"/>
    <w:rsid w:val="30CA3841"/>
    <w:rsid w:val="3130279D"/>
    <w:rsid w:val="31CF71A7"/>
    <w:rsid w:val="31DF7B93"/>
    <w:rsid w:val="339D246B"/>
    <w:rsid w:val="342060A8"/>
    <w:rsid w:val="35212328"/>
    <w:rsid w:val="358603F2"/>
    <w:rsid w:val="36A65EF8"/>
    <w:rsid w:val="36FB2C59"/>
    <w:rsid w:val="373827F1"/>
    <w:rsid w:val="379345D1"/>
    <w:rsid w:val="37974BFF"/>
    <w:rsid w:val="37BE23C2"/>
    <w:rsid w:val="387F2F2C"/>
    <w:rsid w:val="3936709C"/>
    <w:rsid w:val="3A3F65BD"/>
    <w:rsid w:val="3A773720"/>
    <w:rsid w:val="3C456A69"/>
    <w:rsid w:val="3C487023"/>
    <w:rsid w:val="3C887586"/>
    <w:rsid w:val="3D5A40AB"/>
    <w:rsid w:val="3DB441B2"/>
    <w:rsid w:val="3E371640"/>
    <w:rsid w:val="3EB93F1F"/>
    <w:rsid w:val="3EF869AA"/>
    <w:rsid w:val="3F0B65A3"/>
    <w:rsid w:val="3FC82DB5"/>
    <w:rsid w:val="404A6AC9"/>
    <w:rsid w:val="41394D83"/>
    <w:rsid w:val="41A706B0"/>
    <w:rsid w:val="41A76214"/>
    <w:rsid w:val="41BF02F4"/>
    <w:rsid w:val="422E1FDF"/>
    <w:rsid w:val="423C71D1"/>
    <w:rsid w:val="426213B7"/>
    <w:rsid w:val="42CE1EFE"/>
    <w:rsid w:val="4500284B"/>
    <w:rsid w:val="45407B03"/>
    <w:rsid w:val="45C004AA"/>
    <w:rsid w:val="47847BD9"/>
    <w:rsid w:val="47AD4330"/>
    <w:rsid w:val="48E1049E"/>
    <w:rsid w:val="49280B38"/>
    <w:rsid w:val="492C5B3D"/>
    <w:rsid w:val="4B635392"/>
    <w:rsid w:val="4BA21255"/>
    <w:rsid w:val="4DC66F68"/>
    <w:rsid w:val="514F2EE0"/>
    <w:rsid w:val="51A458AF"/>
    <w:rsid w:val="51E05A85"/>
    <w:rsid w:val="52E54E97"/>
    <w:rsid w:val="52EE0AE7"/>
    <w:rsid w:val="554C057B"/>
    <w:rsid w:val="562E1D47"/>
    <w:rsid w:val="566E6D8E"/>
    <w:rsid w:val="56FF0A43"/>
    <w:rsid w:val="578D7BB6"/>
    <w:rsid w:val="57D705F2"/>
    <w:rsid w:val="5AAF6E02"/>
    <w:rsid w:val="5AEA3AD0"/>
    <w:rsid w:val="5B1D2529"/>
    <w:rsid w:val="5B35349E"/>
    <w:rsid w:val="5BA959B9"/>
    <w:rsid w:val="5D173705"/>
    <w:rsid w:val="5D1B4B8A"/>
    <w:rsid w:val="5D44477C"/>
    <w:rsid w:val="5D915ACD"/>
    <w:rsid w:val="5E611270"/>
    <w:rsid w:val="5EB2026E"/>
    <w:rsid w:val="61033D16"/>
    <w:rsid w:val="625B24D7"/>
    <w:rsid w:val="62CD795C"/>
    <w:rsid w:val="634E646B"/>
    <w:rsid w:val="65770921"/>
    <w:rsid w:val="66287A72"/>
    <w:rsid w:val="66EA0C9A"/>
    <w:rsid w:val="66FB3BC1"/>
    <w:rsid w:val="678F7868"/>
    <w:rsid w:val="68985C4A"/>
    <w:rsid w:val="68BB275A"/>
    <w:rsid w:val="68FD3F41"/>
    <w:rsid w:val="694F3562"/>
    <w:rsid w:val="695E0A51"/>
    <w:rsid w:val="6AE713EB"/>
    <w:rsid w:val="6C7B13C4"/>
    <w:rsid w:val="6CA73029"/>
    <w:rsid w:val="6D027CD6"/>
    <w:rsid w:val="6E550ED4"/>
    <w:rsid w:val="6EA5652C"/>
    <w:rsid w:val="6ED71557"/>
    <w:rsid w:val="706A3FF6"/>
    <w:rsid w:val="70D03715"/>
    <w:rsid w:val="70E0155E"/>
    <w:rsid w:val="711219DD"/>
    <w:rsid w:val="71F96DCA"/>
    <w:rsid w:val="72107C5B"/>
    <w:rsid w:val="732D2693"/>
    <w:rsid w:val="7357254E"/>
    <w:rsid w:val="73611393"/>
    <w:rsid w:val="754F1E1A"/>
    <w:rsid w:val="761859F6"/>
    <w:rsid w:val="76206BC5"/>
    <w:rsid w:val="778A5616"/>
    <w:rsid w:val="780E1C86"/>
    <w:rsid w:val="78C920D3"/>
    <w:rsid w:val="797A02ED"/>
    <w:rsid w:val="797D2C2A"/>
    <w:rsid w:val="79B23223"/>
    <w:rsid w:val="79BB1CE4"/>
    <w:rsid w:val="79DE1204"/>
    <w:rsid w:val="7A447EB1"/>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paragraph" w:customStyle="1" w:styleId="23">
    <w:name w:val="Heading 3"/>
    <w:basedOn w:val="1"/>
    <w:qFormat/>
    <w:uiPriority w:val="0"/>
    <w:pPr>
      <w:spacing w:before="61"/>
      <w:ind w:left="220"/>
      <w:outlineLvl w:val="3"/>
    </w:pPr>
    <w:rPr>
      <w:rFonts w:ascii="黑体" w:hAnsi="黑体" w:eastAsia="黑体" w:cs="黑体"/>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19</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2020-10-29T03:51:59Z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